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A1" w:rsidRPr="00154D00" w:rsidRDefault="006936A1" w:rsidP="006936A1">
      <w:pPr>
        <w:jc w:val="center"/>
      </w:pPr>
      <w:r w:rsidRPr="00154D00">
        <w:rPr>
          <w:noProof/>
          <w:lang w:eastAsia="en-AU"/>
        </w:rPr>
        <w:drawing>
          <wp:inline distT="0" distB="0" distL="0" distR="0" wp14:anchorId="62DDF192" wp14:editId="77896027">
            <wp:extent cx="4585335" cy="1157605"/>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5335" cy="1157605"/>
                    </a:xfrm>
                    <a:prstGeom prst="rect">
                      <a:avLst/>
                    </a:prstGeom>
                    <a:noFill/>
                    <a:ln>
                      <a:noFill/>
                    </a:ln>
                  </pic:spPr>
                </pic:pic>
              </a:graphicData>
            </a:graphic>
          </wp:inline>
        </w:drawing>
      </w:r>
    </w:p>
    <w:p w:rsidR="006936A1" w:rsidRPr="00154D00" w:rsidRDefault="006936A1" w:rsidP="00034296">
      <w:pPr>
        <w:spacing w:before="2400"/>
        <w:rPr>
          <w:rFonts w:cs="Arial"/>
          <w:sz w:val="44"/>
          <w:szCs w:val="44"/>
        </w:rPr>
      </w:pPr>
      <w:r w:rsidRPr="00154D00">
        <w:rPr>
          <w:rFonts w:ascii="Arial" w:hAnsi="Arial" w:cs="Arial"/>
          <w:b/>
          <w:sz w:val="44"/>
          <w:szCs w:val="44"/>
        </w:rPr>
        <w:t>Giving written drafting instructions to OPC</w:t>
      </w:r>
    </w:p>
    <w:p w:rsidR="00DD027F" w:rsidRPr="00154D00" w:rsidRDefault="00DD027F" w:rsidP="00DD027F">
      <w:pPr>
        <w:pStyle w:val="Release"/>
        <w:spacing w:before="6000"/>
        <w:ind w:left="284"/>
      </w:pPr>
      <w:r w:rsidRPr="00154D00">
        <w:t xml:space="preserve">Document release </w:t>
      </w:r>
      <w:r w:rsidR="001C4CCB" w:rsidRPr="00154D00">
        <w:t>2.1</w:t>
      </w:r>
      <w:bookmarkStart w:id="0" w:name="_GoBack"/>
      <w:bookmarkEnd w:id="0"/>
    </w:p>
    <w:p w:rsidR="00DD027F" w:rsidRPr="00154D00" w:rsidRDefault="00DD027F" w:rsidP="00034296">
      <w:pPr>
        <w:pStyle w:val="Issued"/>
        <w:spacing w:before="0"/>
        <w:ind w:left="284"/>
        <w:sectPr w:rsidR="00DD027F" w:rsidRPr="00154D00" w:rsidSect="007F5A44">
          <w:headerReference w:type="even" r:id="rId9"/>
          <w:headerReference w:type="default" r:id="rId10"/>
          <w:footerReference w:type="even" r:id="rId11"/>
          <w:footerReference w:type="default" r:id="rId12"/>
          <w:headerReference w:type="first" r:id="rId13"/>
          <w:footerReference w:type="first" r:id="rId14"/>
          <w:pgSz w:w="11907" w:h="16839" w:code="9"/>
          <w:pgMar w:top="992" w:right="1440" w:bottom="1418" w:left="1440" w:header="720" w:footer="720" w:gutter="0"/>
          <w:pgNumType w:fmt="lowerRoman" w:start="1"/>
          <w:cols w:sep="1" w:space="567"/>
          <w:titlePg/>
          <w:docGrid w:linePitch="360"/>
        </w:sectPr>
      </w:pPr>
      <w:r w:rsidRPr="00154D00">
        <w:t xml:space="preserve">Reissued </w:t>
      </w:r>
      <w:r w:rsidR="00567FFE">
        <w:t>July</w:t>
      </w:r>
      <w:r w:rsidR="00B16852" w:rsidRPr="00154D00">
        <w:t xml:space="preserve"> </w:t>
      </w:r>
      <w:r w:rsidR="00567FFE">
        <w:t>2016</w:t>
      </w:r>
    </w:p>
    <w:p w:rsidR="00E4356B" w:rsidRPr="00154D00" w:rsidRDefault="00E4356B" w:rsidP="00E4356B">
      <w:pPr>
        <w:rPr>
          <w:sz w:val="32"/>
        </w:rPr>
      </w:pPr>
      <w:r w:rsidRPr="00154D00">
        <w:rPr>
          <w:sz w:val="32"/>
        </w:rPr>
        <w:lastRenderedPageBreak/>
        <w:t>Contents</w:t>
      </w:r>
    </w:p>
    <w:p w:rsidR="00F66B53" w:rsidRDefault="00F66B53" w:rsidP="00F66B53">
      <w:pPr>
        <w:pStyle w:val="TOC2"/>
        <w:rPr>
          <w:rFonts w:asciiTheme="minorHAnsi" w:eastAsiaTheme="minorEastAsia" w:hAnsiTheme="minorHAnsi" w:cstheme="minorBidi"/>
          <w:b w:val="0"/>
          <w:sz w:val="22"/>
          <w:szCs w:val="22"/>
        </w:rPr>
      </w:pPr>
      <w:r>
        <w:rPr>
          <w:sz w:val="20"/>
        </w:rPr>
        <w:fldChar w:fldCharType="begin"/>
      </w:r>
      <w:r>
        <w:rPr>
          <w:sz w:val="20"/>
        </w:rPr>
        <w:instrText xml:space="preserve"> TOC \o "2-9" </w:instrText>
      </w:r>
      <w:r>
        <w:rPr>
          <w:sz w:val="20"/>
        </w:rPr>
        <w:fldChar w:fldCharType="separate"/>
      </w:r>
      <w:r>
        <w:t>Introduction</w:t>
      </w:r>
      <w:r w:rsidRPr="00F66B53">
        <w:rPr>
          <w:b w:val="0"/>
          <w:sz w:val="20"/>
        </w:rPr>
        <w:tab/>
      </w:r>
      <w:r w:rsidRPr="00F66B53">
        <w:rPr>
          <w:b w:val="0"/>
          <w:sz w:val="20"/>
        </w:rPr>
        <w:fldChar w:fldCharType="begin"/>
      </w:r>
      <w:r w:rsidRPr="00F66B53">
        <w:rPr>
          <w:b w:val="0"/>
          <w:sz w:val="20"/>
        </w:rPr>
        <w:instrText xml:space="preserve"> PAGEREF _Toc452111455 \h </w:instrText>
      </w:r>
      <w:r w:rsidRPr="00F66B53">
        <w:rPr>
          <w:b w:val="0"/>
          <w:sz w:val="20"/>
        </w:rPr>
      </w:r>
      <w:r w:rsidRPr="00F66B53">
        <w:rPr>
          <w:b w:val="0"/>
          <w:sz w:val="20"/>
        </w:rPr>
        <w:fldChar w:fldCharType="separate"/>
      </w:r>
      <w:r w:rsidR="00477DF3">
        <w:rPr>
          <w:b w:val="0"/>
          <w:sz w:val="20"/>
        </w:rPr>
        <w:t>1</w:t>
      </w:r>
      <w:r w:rsidRPr="00F66B53">
        <w:rPr>
          <w:b w:val="0"/>
          <w:sz w:val="20"/>
        </w:rPr>
        <w:fldChar w:fldCharType="end"/>
      </w:r>
    </w:p>
    <w:p w:rsidR="00F66B53" w:rsidRDefault="00F66B53" w:rsidP="00F66B53">
      <w:pPr>
        <w:pStyle w:val="TOC2"/>
        <w:rPr>
          <w:rFonts w:asciiTheme="minorHAnsi" w:eastAsiaTheme="minorEastAsia" w:hAnsiTheme="minorHAnsi" w:cstheme="minorBidi"/>
          <w:b w:val="0"/>
          <w:sz w:val="22"/>
          <w:szCs w:val="22"/>
        </w:rPr>
      </w:pPr>
      <w:r>
        <w:t>Client advising arrangements</w:t>
      </w:r>
      <w:r w:rsidRPr="00F66B53">
        <w:rPr>
          <w:b w:val="0"/>
          <w:sz w:val="20"/>
        </w:rPr>
        <w:tab/>
      </w:r>
      <w:r w:rsidRPr="00F66B53">
        <w:rPr>
          <w:b w:val="0"/>
          <w:sz w:val="20"/>
        </w:rPr>
        <w:fldChar w:fldCharType="begin"/>
      </w:r>
      <w:r w:rsidRPr="00F66B53">
        <w:rPr>
          <w:b w:val="0"/>
          <w:sz w:val="20"/>
        </w:rPr>
        <w:instrText xml:space="preserve"> PAGEREF _Toc452111456 \h </w:instrText>
      </w:r>
      <w:r w:rsidRPr="00F66B53">
        <w:rPr>
          <w:b w:val="0"/>
          <w:sz w:val="20"/>
        </w:rPr>
      </w:r>
      <w:r w:rsidRPr="00F66B53">
        <w:rPr>
          <w:b w:val="0"/>
          <w:sz w:val="20"/>
        </w:rPr>
        <w:fldChar w:fldCharType="separate"/>
      </w:r>
      <w:r w:rsidR="00477DF3">
        <w:rPr>
          <w:b w:val="0"/>
          <w:sz w:val="20"/>
        </w:rPr>
        <w:t>1</w:t>
      </w:r>
      <w:r w:rsidRPr="00F66B53">
        <w:rPr>
          <w:b w:val="0"/>
          <w:sz w:val="20"/>
        </w:rPr>
        <w:fldChar w:fldCharType="end"/>
      </w:r>
    </w:p>
    <w:p w:rsidR="00F66B53" w:rsidRDefault="00F66B53" w:rsidP="00F66B53">
      <w:pPr>
        <w:pStyle w:val="TOC2"/>
        <w:rPr>
          <w:rFonts w:asciiTheme="minorHAnsi" w:eastAsiaTheme="minorEastAsia" w:hAnsiTheme="minorHAnsi" w:cstheme="minorBidi"/>
          <w:b w:val="0"/>
          <w:sz w:val="22"/>
          <w:szCs w:val="22"/>
        </w:rPr>
      </w:pPr>
      <w:r>
        <w:t>When to send instructions</w:t>
      </w:r>
      <w:r w:rsidRPr="00F66B53">
        <w:rPr>
          <w:b w:val="0"/>
          <w:sz w:val="20"/>
        </w:rPr>
        <w:tab/>
      </w:r>
      <w:r w:rsidRPr="00F66B53">
        <w:rPr>
          <w:b w:val="0"/>
          <w:sz w:val="20"/>
        </w:rPr>
        <w:fldChar w:fldCharType="begin"/>
      </w:r>
      <w:r w:rsidRPr="00F66B53">
        <w:rPr>
          <w:b w:val="0"/>
          <w:sz w:val="20"/>
        </w:rPr>
        <w:instrText xml:space="preserve"> PAGEREF _Toc452111457 \h </w:instrText>
      </w:r>
      <w:r w:rsidRPr="00F66B53">
        <w:rPr>
          <w:b w:val="0"/>
          <w:sz w:val="20"/>
        </w:rPr>
      </w:r>
      <w:r w:rsidRPr="00F66B53">
        <w:rPr>
          <w:b w:val="0"/>
          <w:sz w:val="20"/>
        </w:rPr>
        <w:fldChar w:fldCharType="separate"/>
      </w:r>
      <w:r w:rsidR="00477DF3">
        <w:rPr>
          <w:b w:val="0"/>
          <w:sz w:val="20"/>
        </w:rPr>
        <w:t>1</w:t>
      </w:r>
      <w:r w:rsidRPr="00F66B53">
        <w:rPr>
          <w:b w:val="0"/>
          <w:sz w:val="20"/>
        </w:rPr>
        <w:fldChar w:fldCharType="end"/>
      </w:r>
    </w:p>
    <w:p w:rsidR="00F66B53" w:rsidRDefault="00F66B53" w:rsidP="00F66B53">
      <w:pPr>
        <w:pStyle w:val="TOC2"/>
        <w:rPr>
          <w:rFonts w:asciiTheme="minorHAnsi" w:eastAsiaTheme="minorEastAsia" w:hAnsiTheme="minorHAnsi" w:cstheme="minorBidi"/>
          <w:b w:val="0"/>
          <w:sz w:val="22"/>
          <w:szCs w:val="22"/>
        </w:rPr>
      </w:pPr>
      <w:r>
        <w:t>Clearance of instructions</w:t>
      </w:r>
      <w:r w:rsidRPr="00F66B53">
        <w:rPr>
          <w:b w:val="0"/>
          <w:sz w:val="20"/>
        </w:rPr>
        <w:tab/>
      </w:r>
      <w:r w:rsidRPr="00F66B53">
        <w:rPr>
          <w:b w:val="0"/>
          <w:sz w:val="20"/>
        </w:rPr>
        <w:fldChar w:fldCharType="begin"/>
      </w:r>
      <w:r w:rsidRPr="00F66B53">
        <w:rPr>
          <w:b w:val="0"/>
          <w:sz w:val="20"/>
        </w:rPr>
        <w:instrText xml:space="preserve"> PAGEREF _Toc452111458 \h </w:instrText>
      </w:r>
      <w:r w:rsidRPr="00F66B53">
        <w:rPr>
          <w:b w:val="0"/>
          <w:sz w:val="20"/>
        </w:rPr>
      </w:r>
      <w:r w:rsidRPr="00F66B53">
        <w:rPr>
          <w:b w:val="0"/>
          <w:sz w:val="20"/>
        </w:rPr>
        <w:fldChar w:fldCharType="separate"/>
      </w:r>
      <w:r w:rsidR="00477DF3">
        <w:rPr>
          <w:b w:val="0"/>
          <w:sz w:val="20"/>
        </w:rPr>
        <w:t>2</w:t>
      </w:r>
      <w:r w:rsidRPr="00F66B53">
        <w:rPr>
          <w:b w:val="0"/>
          <w:sz w:val="20"/>
        </w:rPr>
        <w:fldChar w:fldCharType="end"/>
      </w:r>
    </w:p>
    <w:p w:rsidR="00F66B53" w:rsidRDefault="00F66B53" w:rsidP="00F66B53">
      <w:pPr>
        <w:pStyle w:val="TOC2"/>
        <w:rPr>
          <w:rFonts w:asciiTheme="minorHAnsi" w:eastAsiaTheme="minorEastAsia" w:hAnsiTheme="minorHAnsi" w:cstheme="minorBidi"/>
          <w:b w:val="0"/>
          <w:sz w:val="22"/>
          <w:szCs w:val="22"/>
        </w:rPr>
      </w:pPr>
      <w:r>
        <w:t>How to send instructions</w:t>
      </w:r>
      <w:r w:rsidRPr="00F66B53">
        <w:rPr>
          <w:b w:val="0"/>
          <w:sz w:val="20"/>
        </w:rPr>
        <w:tab/>
      </w:r>
      <w:r w:rsidRPr="00F66B53">
        <w:rPr>
          <w:b w:val="0"/>
          <w:sz w:val="20"/>
        </w:rPr>
        <w:fldChar w:fldCharType="begin"/>
      </w:r>
      <w:r w:rsidRPr="00F66B53">
        <w:rPr>
          <w:b w:val="0"/>
          <w:sz w:val="20"/>
        </w:rPr>
        <w:instrText xml:space="preserve"> PAGEREF _Toc452111459 \h </w:instrText>
      </w:r>
      <w:r w:rsidRPr="00F66B53">
        <w:rPr>
          <w:b w:val="0"/>
          <w:sz w:val="20"/>
        </w:rPr>
      </w:r>
      <w:r w:rsidRPr="00F66B53">
        <w:rPr>
          <w:b w:val="0"/>
          <w:sz w:val="20"/>
        </w:rPr>
        <w:fldChar w:fldCharType="separate"/>
      </w:r>
      <w:r w:rsidR="00477DF3">
        <w:rPr>
          <w:b w:val="0"/>
          <w:sz w:val="20"/>
        </w:rPr>
        <w:t>2</w:t>
      </w:r>
      <w:r w:rsidRPr="00F66B53">
        <w:rPr>
          <w:b w:val="0"/>
          <w:sz w:val="20"/>
        </w:rPr>
        <w:fldChar w:fldCharType="end"/>
      </w:r>
    </w:p>
    <w:p w:rsidR="00F66B53" w:rsidRDefault="00F66B53" w:rsidP="00F66B53">
      <w:pPr>
        <w:pStyle w:val="TOC2"/>
        <w:rPr>
          <w:rFonts w:asciiTheme="minorHAnsi" w:eastAsiaTheme="minorEastAsia" w:hAnsiTheme="minorHAnsi" w:cstheme="minorBidi"/>
          <w:b w:val="0"/>
          <w:sz w:val="22"/>
          <w:szCs w:val="22"/>
        </w:rPr>
      </w:pPr>
      <w:r>
        <w:t>Form and content of instructions: some basic matters</w:t>
      </w:r>
      <w:r w:rsidRPr="00F66B53">
        <w:rPr>
          <w:b w:val="0"/>
          <w:sz w:val="20"/>
        </w:rPr>
        <w:tab/>
      </w:r>
      <w:r w:rsidRPr="00F66B53">
        <w:rPr>
          <w:b w:val="0"/>
          <w:sz w:val="20"/>
        </w:rPr>
        <w:fldChar w:fldCharType="begin"/>
      </w:r>
      <w:r w:rsidRPr="00F66B53">
        <w:rPr>
          <w:b w:val="0"/>
          <w:sz w:val="20"/>
        </w:rPr>
        <w:instrText xml:space="preserve"> PAGEREF _Toc452111460 \h </w:instrText>
      </w:r>
      <w:r w:rsidRPr="00F66B53">
        <w:rPr>
          <w:b w:val="0"/>
          <w:sz w:val="20"/>
        </w:rPr>
      </w:r>
      <w:r w:rsidRPr="00F66B53">
        <w:rPr>
          <w:b w:val="0"/>
          <w:sz w:val="20"/>
        </w:rPr>
        <w:fldChar w:fldCharType="separate"/>
      </w:r>
      <w:r w:rsidR="00477DF3">
        <w:rPr>
          <w:b w:val="0"/>
          <w:sz w:val="20"/>
        </w:rPr>
        <w:t>3</w:t>
      </w:r>
      <w:r w:rsidRPr="00F66B53">
        <w:rPr>
          <w:b w:val="0"/>
          <w:sz w:val="20"/>
        </w:rPr>
        <w:fldChar w:fldCharType="end"/>
      </w:r>
    </w:p>
    <w:p w:rsidR="00F66B53" w:rsidRDefault="00F66B53" w:rsidP="00F66B53">
      <w:pPr>
        <w:pStyle w:val="TOC2"/>
        <w:rPr>
          <w:rFonts w:asciiTheme="minorHAnsi" w:eastAsiaTheme="minorEastAsia" w:hAnsiTheme="minorHAnsi" w:cstheme="minorBidi"/>
          <w:b w:val="0"/>
          <w:sz w:val="22"/>
          <w:szCs w:val="22"/>
        </w:rPr>
      </w:pPr>
      <w:r>
        <w:t>Checklist for instructions</w:t>
      </w:r>
      <w:r w:rsidRPr="00F66B53">
        <w:rPr>
          <w:b w:val="0"/>
          <w:sz w:val="20"/>
        </w:rPr>
        <w:tab/>
      </w:r>
      <w:r w:rsidRPr="00F66B53">
        <w:rPr>
          <w:b w:val="0"/>
          <w:sz w:val="20"/>
        </w:rPr>
        <w:fldChar w:fldCharType="begin"/>
      </w:r>
      <w:r w:rsidRPr="00F66B53">
        <w:rPr>
          <w:b w:val="0"/>
          <w:sz w:val="20"/>
        </w:rPr>
        <w:instrText xml:space="preserve"> PAGEREF _Toc452111461 \h </w:instrText>
      </w:r>
      <w:r w:rsidRPr="00F66B53">
        <w:rPr>
          <w:b w:val="0"/>
          <w:sz w:val="20"/>
        </w:rPr>
      </w:r>
      <w:r w:rsidRPr="00F66B53">
        <w:rPr>
          <w:b w:val="0"/>
          <w:sz w:val="20"/>
        </w:rPr>
        <w:fldChar w:fldCharType="separate"/>
      </w:r>
      <w:r w:rsidR="00477DF3">
        <w:rPr>
          <w:b w:val="0"/>
          <w:sz w:val="20"/>
        </w:rPr>
        <w:t>3</w:t>
      </w:r>
      <w:r w:rsidRPr="00F66B53">
        <w:rPr>
          <w:b w:val="0"/>
          <w:sz w:val="20"/>
        </w:rPr>
        <w:fldChar w:fldCharType="end"/>
      </w:r>
    </w:p>
    <w:p w:rsidR="00F66B53" w:rsidRDefault="00F66B53" w:rsidP="00F66B53">
      <w:pPr>
        <w:rPr>
          <w:rFonts w:cs="Times New Roman"/>
          <w:sz w:val="20"/>
        </w:rPr>
      </w:pPr>
      <w:r>
        <w:rPr>
          <w:rFonts w:cs="Times New Roman"/>
          <w:sz w:val="20"/>
        </w:rPr>
        <w:fldChar w:fldCharType="end"/>
      </w:r>
    </w:p>
    <w:p w:rsidR="008D10FF" w:rsidRPr="00154D00" w:rsidRDefault="008D10FF" w:rsidP="00BD3291">
      <w:pPr>
        <w:rPr>
          <w:rFonts w:cs="Times New Roman"/>
          <w:sz w:val="20"/>
        </w:rPr>
      </w:pPr>
      <w:r w:rsidRPr="00154D00">
        <w:rPr>
          <w:rFonts w:cs="Times New Roman"/>
          <w:sz w:val="20"/>
        </w:rPr>
        <w:br w:type="page"/>
      </w:r>
    </w:p>
    <w:p w:rsidR="001D3618" w:rsidRDefault="001D3618" w:rsidP="001D3618">
      <w:pPr>
        <w:pStyle w:val="Head2"/>
        <w:sectPr w:rsidR="001D3618" w:rsidSect="00714D90">
          <w:footerReference w:type="even" r:id="rId15"/>
          <w:footerReference w:type="default" r:id="rId16"/>
          <w:pgSz w:w="11907" w:h="16839" w:code="9"/>
          <w:pgMar w:top="1440" w:right="1440" w:bottom="1418" w:left="1440" w:header="720" w:footer="720" w:gutter="0"/>
          <w:pgNumType w:fmt="lowerRoman" w:start="1"/>
          <w:cols w:sep="1" w:space="567"/>
          <w:docGrid w:linePitch="360"/>
        </w:sectPr>
      </w:pPr>
    </w:p>
    <w:p w:rsidR="000E4D5A" w:rsidRPr="00154D00" w:rsidRDefault="000E4D5A" w:rsidP="00154D00">
      <w:pPr>
        <w:pStyle w:val="Head2"/>
      </w:pPr>
      <w:bookmarkStart w:id="1" w:name="_Toc452111455"/>
      <w:r w:rsidRPr="00154D00">
        <w:lastRenderedPageBreak/>
        <w:t>Introduction</w:t>
      </w:r>
      <w:bookmarkEnd w:id="1"/>
    </w:p>
    <w:p w:rsidR="000E4D5A" w:rsidRPr="00154D00" w:rsidRDefault="000E4D5A" w:rsidP="000E4D5A">
      <w:pPr>
        <w:pStyle w:val="BodyNum"/>
      </w:pPr>
      <w:r w:rsidRPr="00154D00">
        <w:t>This document provides guidance about giving written instructions to the Office of Parliamentary Counsel (</w:t>
      </w:r>
      <w:r w:rsidRPr="00154D00">
        <w:rPr>
          <w:b/>
          <w:i/>
        </w:rPr>
        <w:t>OPC</w:t>
      </w:r>
      <w:r w:rsidRPr="00154D00">
        <w:t>) for drafting Bills</w:t>
      </w:r>
      <w:r w:rsidR="00D60BB5" w:rsidRPr="00154D00">
        <w:t xml:space="preserve"> and instruments</w:t>
      </w:r>
      <w:r w:rsidRPr="00154D00">
        <w:t>.</w:t>
      </w:r>
    </w:p>
    <w:p w:rsidR="000E4D5A" w:rsidRPr="00154D00" w:rsidRDefault="000E4D5A" w:rsidP="000E4D5A">
      <w:pPr>
        <w:pStyle w:val="BodyNum"/>
      </w:pPr>
      <w:r w:rsidRPr="00154D00">
        <w:t>Most of this document is devoted to a checklist of matters to cover in drafting instructions.</w:t>
      </w:r>
    </w:p>
    <w:p w:rsidR="000E4D5A" w:rsidRPr="00154D00" w:rsidRDefault="000E4D5A" w:rsidP="000E4D5A">
      <w:pPr>
        <w:pStyle w:val="BodyNum"/>
      </w:pPr>
      <w:r w:rsidRPr="00154D00">
        <w:t>The best way for the instructions to make the process of drafting a Bill</w:t>
      </w:r>
      <w:r w:rsidR="00D60BB5" w:rsidRPr="00154D00">
        <w:t xml:space="preserve"> or instrument </w:t>
      </w:r>
      <w:r w:rsidRPr="00154D00">
        <w:t>as easy as possible for you and the drafters is for the instructions to address the issues raised in the checklist. Following the structure</w:t>
      </w:r>
      <w:r w:rsidR="00D60BB5" w:rsidRPr="00154D00">
        <w:t xml:space="preserve"> in</w:t>
      </w:r>
      <w:r w:rsidRPr="00154D00">
        <w:t xml:space="preserve"> the checklist may also </w:t>
      </w:r>
      <w:r w:rsidR="00D60BB5" w:rsidRPr="00154D00">
        <w:t>help</w:t>
      </w:r>
      <w:r w:rsidRPr="00154D00">
        <w:t xml:space="preserve"> the process, but is less important than making sure the instructions address the issues thoroughly.</w:t>
      </w:r>
    </w:p>
    <w:p w:rsidR="000E4D5A" w:rsidRPr="00154D00" w:rsidRDefault="000E4D5A" w:rsidP="000E4D5A">
      <w:pPr>
        <w:pStyle w:val="BodyNum"/>
      </w:pPr>
      <w:r w:rsidRPr="00154D00">
        <w:t>Much more information about the process of drafting a Bill</w:t>
      </w:r>
      <w:r w:rsidR="00690AD5" w:rsidRPr="00154D00">
        <w:t xml:space="preserve"> or instrument</w:t>
      </w:r>
      <w:r w:rsidRPr="00154D00">
        <w:t>, and the role of written drafting instructions in that process, is given in:</w:t>
      </w:r>
    </w:p>
    <w:p w:rsidR="000E4D5A" w:rsidRPr="00154D00" w:rsidRDefault="00231799" w:rsidP="000E4D5A">
      <w:pPr>
        <w:pStyle w:val="BodyPara"/>
      </w:pPr>
      <w:r w:rsidRPr="00154D00">
        <w:rPr>
          <w:i/>
        </w:rPr>
        <w:t>OPC’s drafting services: a guide for clients</w:t>
      </w:r>
      <w:r w:rsidR="00D704AA">
        <w:t xml:space="preserve"> </w:t>
      </w:r>
      <w:r w:rsidRPr="00154D00">
        <w:t xml:space="preserve">(the </w:t>
      </w:r>
      <w:hyperlink r:id="rId17" w:history="1">
        <w:r w:rsidRPr="00EF2146">
          <w:rPr>
            <w:rStyle w:val="Hyperlink"/>
            <w:b/>
            <w:i/>
            <w:u w:val="none"/>
          </w:rPr>
          <w:t>Client Guide</w:t>
        </w:r>
      </w:hyperlink>
      <w:r w:rsidR="005C4716">
        <w:t>);</w:t>
      </w:r>
      <w:r w:rsidR="000E4D5A" w:rsidRPr="00154D00">
        <w:t xml:space="preserve"> and</w:t>
      </w:r>
      <w:r w:rsidR="00E17D3E" w:rsidRPr="00154D00">
        <w:t xml:space="preserve"> </w:t>
      </w:r>
    </w:p>
    <w:p w:rsidR="000E4D5A" w:rsidRPr="00154D00" w:rsidRDefault="00477DF3" w:rsidP="000E4D5A">
      <w:pPr>
        <w:pStyle w:val="BodyPara"/>
      </w:pPr>
      <w:hyperlink r:id="rId18" w:history="1">
        <w:r w:rsidR="00BC6D62" w:rsidRPr="00EF2146">
          <w:rPr>
            <w:rStyle w:val="Hyperlink"/>
            <w:u w:val="none"/>
          </w:rPr>
          <w:t>Legislation Process Courses</w:t>
        </w:r>
      </w:hyperlink>
      <w:r w:rsidR="00BC6D62" w:rsidRPr="00154D00">
        <w:t xml:space="preserve"> </w:t>
      </w:r>
      <w:r w:rsidR="000E4D5A" w:rsidRPr="00154D00">
        <w:t>offered by OPC.</w:t>
      </w:r>
    </w:p>
    <w:p w:rsidR="00590BFE" w:rsidRPr="00590BFE" w:rsidRDefault="00B5064C" w:rsidP="00590BFE">
      <w:pPr>
        <w:pStyle w:val="Body"/>
        <w:rPr>
          <w:b/>
        </w:rPr>
      </w:pPr>
      <w:r>
        <w:t>T</w:t>
      </w:r>
      <w:r w:rsidR="00590BFE" w:rsidRPr="0025204C">
        <w:t>he Client Guide and detail</w:t>
      </w:r>
      <w:r w:rsidR="00590BFE">
        <w:t xml:space="preserve">s of the courses </w:t>
      </w:r>
      <w:r>
        <w:t xml:space="preserve">are available on </w:t>
      </w:r>
      <w:r w:rsidR="00590BFE">
        <w:t xml:space="preserve">OPC’s </w:t>
      </w:r>
      <w:hyperlink r:id="rId19" w:history="1">
        <w:r w:rsidRPr="00EF2146">
          <w:rPr>
            <w:rStyle w:val="Hyperlink"/>
            <w:u w:val="none"/>
          </w:rPr>
          <w:t>website</w:t>
        </w:r>
      </w:hyperlink>
      <w:r w:rsidR="00590BFE">
        <w:t>.</w:t>
      </w:r>
    </w:p>
    <w:p w:rsidR="005A049D" w:rsidRPr="00154D00" w:rsidRDefault="005A049D" w:rsidP="00154D00">
      <w:pPr>
        <w:pStyle w:val="Head2"/>
      </w:pPr>
      <w:bookmarkStart w:id="2" w:name="_Toc452111456"/>
      <w:r w:rsidRPr="00154D00">
        <w:t>Client advising arrangements</w:t>
      </w:r>
      <w:bookmarkEnd w:id="2"/>
    </w:p>
    <w:p w:rsidR="005A049D" w:rsidRPr="00154D00" w:rsidRDefault="005A049D" w:rsidP="005A049D">
      <w:pPr>
        <w:pStyle w:val="BodyNum"/>
        <w:rPr>
          <w:szCs w:val="24"/>
        </w:rPr>
      </w:pPr>
      <w:bookmarkStart w:id="3" w:name="_Ref388519624"/>
      <w:r w:rsidRPr="00154D00">
        <w:t xml:space="preserve">OPC </w:t>
      </w:r>
      <w:r w:rsidRPr="00154D00">
        <w:rPr>
          <w:szCs w:val="24"/>
        </w:rPr>
        <w:t>has</w:t>
      </w:r>
      <w:r w:rsidRPr="00154D00">
        <w:t xml:space="preserve"> arrangements under which an</w:t>
      </w:r>
      <w:r w:rsidR="00AB4745" w:rsidRPr="00154D00">
        <w:t xml:space="preserve"> instructing</w:t>
      </w:r>
      <w:r w:rsidRPr="00154D00">
        <w:t xml:space="preserve"> agency can obtain</w:t>
      </w:r>
      <w:r w:rsidRPr="00154D00">
        <w:rPr>
          <w:szCs w:val="24"/>
        </w:rPr>
        <w:t xml:space="preserve"> quick informal advice, from a drafter (a </w:t>
      </w:r>
      <w:r w:rsidRPr="00154D00">
        <w:rPr>
          <w:b/>
          <w:i/>
          <w:szCs w:val="24"/>
        </w:rPr>
        <w:t>client adviser</w:t>
      </w:r>
      <w:r w:rsidRPr="00154D00">
        <w:rPr>
          <w:szCs w:val="24"/>
        </w:rPr>
        <w:t>) who is allocated to the agency, about matters in which OPC has expertise that may not be readily available in the agency. For example, advice may be obtained about:</w:t>
      </w:r>
      <w:bookmarkEnd w:id="3"/>
    </w:p>
    <w:p w:rsidR="005A049D" w:rsidRPr="00154D00" w:rsidRDefault="005A049D" w:rsidP="005A049D">
      <w:pPr>
        <w:pStyle w:val="BodyPara"/>
      </w:pPr>
      <w:r w:rsidRPr="00154D00">
        <w:rPr>
          <w:szCs w:val="24"/>
        </w:rPr>
        <w:t>options for legislative approaches; or</w:t>
      </w:r>
    </w:p>
    <w:p w:rsidR="005A049D" w:rsidRPr="00154D00" w:rsidRDefault="005A049D" w:rsidP="005A049D">
      <w:pPr>
        <w:pStyle w:val="BodyPara"/>
      </w:pPr>
      <w:r w:rsidRPr="00154D00">
        <w:t>matters necessary, desirable or acceptable for inclusion in legislation; or</w:t>
      </w:r>
    </w:p>
    <w:p w:rsidR="005A049D" w:rsidRPr="00154D00" w:rsidRDefault="005A049D" w:rsidP="005A049D">
      <w:pPr>
        <w:pStyle w:val="BodyPara"/>
      </w:pPr>
      <w:r w:rsidRPr="00154D00">
        <w:t xml:space="preserve">the </w:t>
      </w:r>
      <w:r w:rsidRPr="00154D00">
        <w:rPr>
          <w:szCs w:val="24"/>
        </w:rPr>
        <w:t>form</w:t>
      </w:r>
      <w:r w:rsidRPr="00154D00">
        <w:t xml:space="preserve"> of drafting instructions.</w:t>
      </w:r>
    </w:p>
    <w:p w:rsidR="005A049D" w:rsidRPr="00154D00" w:rsidRDefault="005A049D" w:rsidP="005A049D">
      <w:pPr>
        <w:pStyle w:val="BodyNum"/>
      </w:pPr>
      <w:r w:rsidRPr="00154D00">
        <w:t xml:space="preserve">There is a full </w:t>
      </w:r>
      <w:hyperlink r:id="rId20" w:history="1">
        <w:r w:rsidRPr="00EF2146">
          <w:rPr>
            <w:rStyle w:val="Hyperlink"/>
            <w:u w:val="none"/>
          </w:rPr>
          <w:t>list of client advisers</w:t>
        </w:r>
      </w:hyperlink>
      <w:r w:rsidR="006379C9" w:rsidRPr="00154D00">
        <w:t xml:space="preserve"> </w:t>
      </w:r>
      <w:r w:rsidRPr="00154D00">
        <w:t>on OPC’s website, showing which advisers are allocated to which agencies.</w:t>
      </w:r>
    </w:p>
    <w:p w:rsidR="00DC1944" w:rsidRPr="00154D00" w:rsidRDefault="00DC1944" w:rsidP="00154D00">
      <w:pPr>
        <w:pStyle w:val="Head2"/>
      </w:pPr>
      <w:bookmarkStart w:id="4" w:name="_Toc452111457"/>
      <w:r w:rsidRPr="00154D00">
        <w:t>When to send instructions</w:t>
      </w:r>
      <w:bookmarkEnd w:id="4"/>
    </w:p>
    <w:p w:rsidR="00DC1944" w:rsidRPr="00154D00" w:rsidRDefault="00DC1944" w:rsidP="00DC1944">
      <w:pPr>
        <w:pStyle w:val="BodyNum"/>
      </w:pPr>
      <w:r w:rsidRPr="00154D00">
        <w:rPr>
          <w:i/>
        </w:rPr>
        <w:t>Bills:</w:t>
      </w:r>
      <w:r w:rsidRPr="00154D00">
        <w:t xml:space="preserve"> For each parliamentary sittings,</w:t>
      </w:r>
      <w:r w:rsidR="00A04535" w:rsidRPr="00154D00">
        <w:t xml:space="preserve"> the Parliamentary Business Committee of Cabinet</w:t>
      </w:r>
      <w:r w:rsidRPr="00154D00">
        <w:t xml:space="preserve"> </w:t>
      </w:r>
      <w:r w:rsidR="00A04535" w:rsidRPr="00154D00">
        <w:t>(</w:t>
      </w:r>
      <w:r w:rsidRPr="00154D00">
        <w:rPr>
          <w:b/>
          <w:i/>
        </w:rPr>
        <w:t>PBC</w:t>
      </w:r>
      <w:r w:rsidR="00A04535" w:rsidRPr="00154D00">
        <w:t>)</w:t>
      </w:r>
      <w:r w:rsidRPr="00154D00">
        <w:t xml:space="preserve"> sets a date by which drafting instructions for Bills to be introduced in that sittings should be sent to OPC. The date set is usually a date near the end of the previous sittings. For example, for a Bill for introduction in the Winter sittings, the date for providing instructions would be a date near the end of the immediately preceding Autumn sittings. An instructing agency that is having difficulty meeting this deadline should contact</w:t>
      </w:r>
      <w:r w:rsidR="00A04535" w:rsidRPr="00154D00">
        <w:t xml:space="preserve"> First Parliamentary Counsel</w:t>
      </w:r>
      <w:r w:rsidRPr="00154D00">
        <w:t xml:space="preserve"> </w:t>
      </w:r>
      <w:r w:rsidR="00A04535" w:rsidRPr="00154D00">
        <w:t>(</w:t>
      </w:r>
      <w:r w:rsidRPr="00154D00">
        <w:rPr>
          <w:b/>
          <w:i/>
        </w:rPr>
        <w:t>FPC</w:t>
      </w:r>
      <w:r w:rsidR="00A04535" w:rsidRPr="00154D00">
        <w:t>)</w:t>
      </w:r>
      <w:r w:rsidRPr="00154D00">
        <w:t xml:space="preserve"> to discuss the options. It may be viable to instead send provisional drafting instructions (clearly labelled as such) to OPC, and to provide further detailed instructions later as and when firm policy decisions are made.</w:t>
      </w:r>
    </w:p>
    <w:p w:rsidR="00DC1944" w:rsidRPr="00154D00" w:rsidRDefault="00DC1944" w:rsidP="00DC1944">
      <w:pPr>
        <w:pStyle w:val="BodyNum"/>
      </w:pPr>
      <w:r w:rsidRPr="00154D00">
        <w:rPr>
          <w:i/>
        </w:rPr>
        <w:lastRenderedPageBreak/>
        <w:t>Instruments:</w:t>
      </w:r>
      <w:r w:rsidRPr="00154D00">
        <w:t xml:space="preserve"> There is no single date by which drafting instructions for instruments must be provided. As a general rule, initial instructions should be issued as soon as possible or at least 6 weeks before a finalised version of the instrument is required. But bear in mind that if the instrument or policy is complex, or if the instrument is large, it may take significantly longer than 6 weeks to complete a final draft.</w:t>
      </w:r>
    </w:p>
    <w:p w:rsidR="00DC1944" w:rsidRPr="00154D00" w:rsidRDefault="00DC1944" w:rsidP="00DC1944">
      <w:pPr>
        <w:pStyle w:val="BodyNum"/>
      </w:pPr>
      <w:r w:rsidRPr="00154D00">
        <w:t>In working out when a finalised version of an instrument is required, factors that need to be taken into account include the following:</w:t>
      </w:r>
    </w:p>
    <w:p w:rsidR="00DC1944" w:rsidRPr="00154D00" w:rsidRDefault="00DC1944" w:rsidP="00DC1944">
      <w:pPr>
        <w:pStyle w:val="BodyPara"/>
      </w:pPr>
      <w:r w:rsidRPr="00154D00">
        <w:t>for instruments to be made or approved by the Governor</w:t>
      </w:r>
      <w:r w:rsidR="00E3060E">
        <w:noBreakHyphen/>
      </w:r>
      <w:r w:rsidRPr="00154D00">
        <w:t>General (</w:t>
      </w:r>
      <w:r w:rsidRPr="00154D00">
        <w:rPr>
          <w:b/>
          <w:i/>
        </w:rPr>
        <w:t>ExCo instruments</w:t>
      </w:r>
      <w:r w:rsidRPr="00154D00">
        <w:t xml:space="preserve">)—the proposed </w:t>
      </w:r>
      <w:r w:rsidR="00465B23" w:rsidRPr="00154D00">
        <w:t xml:space="preserve">Executive Council </w:t>
      </w:r>
      <w:r w:rsidRPr="00154D00">
        <w:t>meeting date, and the “Cut</w:t>
      </w:r>
      <w:r w:rsidR="00E3060E">
        <w:noBreakHyphen/>
      </w:r>
      <w:r w:rsidRPr="00154D00">
        <w:t>off for Final Papers” deadline for that meeting (as notified by an Executive Council Circular);</w:t>
      </w:r>
    </w:p>
    <w:p w:rsidR="00DC1944" w:rsidRPr="00154D00" w:rsidRDefault="00DC1944" w:rsidP="00DC1944">
      <w:pPr>
        <w:pStyle w:val="BodyPara"/>
      </w:pPr>
      <w:r w:rsidRPr="00154D00">
        <w:t>for other instruments—the proposed date for making;</w:t>
      </w:r>
    </w:p>
    <w:p w:rsidR="00DC1944" w:rsidRPr="00154D00" w:rsidRDefault="00DC1944" w:rsidP="00DC1944">
      <w:pPr>
        <w:pStyle w:val="BodyPara"/>
      </w:pPr>
      <w:r w:rsidRPr="00154D00">
        <w:t>whether there is to be an exposure draft of the instrument before it is finalised.</w:t>
      </w:r>
    </w:p>
    <w:p w:rsidR="00DC1944" w:rsidRPr="00154D00" w:rsidRDefault="00DC1944" w:rsidP="00154D00">
      <w:pPr>
        <w:pStyle w:val="Head2"/>
      </w:pPr>
      <w:bookmarkStart w:id="5" w:name="_Toc452111458"/>
      <w:r w:rsidRPr="00154D00">
        <w:t>Clearance of instructions</w:t>
      </w:r>
      <w:bookmarkEnd w:id="5"/>
    </w:p>
    <w:p w:rsidR="00DC1944" w:rsidRPr="00154D00" w:rsidRDefault="00DC1944" w:rsidP="00DC1944">
      <w:pPr>
        <w:pStyle w:val="BodyNum"/>
      </w:pPr>
      <w:r w:rsidRPr="00154D00">
        <w:t>It is desirable for instructions to be cleared within the instructing agency at SES level before they are sent to OPC.</w:t>
      </w:r>
    </w:p>
    <w:p w:rsidR="00DC1944" w:rsidRPr="00154D00" w:rsidRDefault="00DC1944" w:rsidP="00154D00">
      <w:pPr>
        <w:pStyle w:val="Head2"/>
      </w:pPr>
      <w:bookmarkStart w:id="6" w:name="_Toc452111459"/>
      <w:r w:rsidRPr="00154D00">
        <w:t>How to send instructions</w:t>
      </w:r>
      <w:bookmarkEnd w:id="6"/>
    </w:p>
    <w:p w:rsidR="00DC1944" w:rsidRPr="00154D00" w:rsidRDefault="00DC1944" w:rsidP="00DC1944">
      <w:pPr>
        <w:pStyle w:val="BodyNum"/>
        <w:rPr>
          <w:szCs w:val="24"/>
        </w:rPr>
      </w:pPr>
      <w:r w:rsidRPr="00154D00">
        <w:t>The preferred method for sending drafting instructions to OPC is by email as follows:</w:t>
      </w:r>
    </w:p>
    <w:p w:rsidR="00DC1944" w:rsidRPr="00154D00" w:rsidRDefault="00DC1944" w:rsidP="00DC1944">
      <w:pPr>
        <w:pStyle w:val="BodyPara"/>
      </w:pPr>
      <w:r w:rsidRPr="00154D00">
        <w:rPr>
          <w:i/>
        </w:rPr>
        <w:t>Bills:</w:t>
      </w:r>
      <w:r w:rsidRPr="00154D00">
        <w:t xml:space="preserve"> email the instructions to </w:t>
      </w:r>
      <w:hyperlink r:id="rId21" w:history="1">
        <w:r w:rsidRPr="00EF2146">
          <w:rPr>
            <w:rStyle w:val="Hyperlink"/>
            <w:u w:val="none"/>
          </w:rPr>
          <w:t>bill.instructions@opc.gov.au</w:t>
        </w:r>
      </w:hyperlink>
      <w:r w:rsidRPr="00154D00">
        <w:t>;</w:t>
      </w:r>
    </w:p>
    <w:p w:rsidR="00DC1944" w:rsidRPr="00154D00" w:rsidRDefault="00DC1944" w:rsidP="00DC1944">
      <w:pPr>
        <w:pStyle w:val="BodyPara"/>
      </w:pPr>
      <w:r w:rsidRPr="00154D00">
        <w:rPr>
          <w:i/>
        </w:rPr>
        <w:t>instruments:</w:t>
      </w:r>
      <w:r w:rsidRPr="00154D00">
        <w:t xml:space="preserve"> email the instructions to </w:t>
      </w:r>
      <w:hyperlink r:id="rId22" w:history="1">
        <w:r w:rsidRPr="00EF2146">
          <w:rPr>
            <w:rStyle w:val="Hyperlink"/>
            <w:u w:val="none"/>
          </w:rPr>
          <w:t>instrument.instructions@opc.gov.au</w:t>
        </w:r>
      </w:hyperlink>
      <w:r w:rsidRPr="00154D00">
        <w:t>.</w:t>
      </w:r>
    </w:p>
    <w:p w:rsidR="00DC1944" w:rsidRPr="00154D00" w:rsidRDefault="00DC1944" w:rsidP="00DC1944">
      <w:pPr>
        <w:pStyle w:val="BodyNum"/>
      </w:pPr>
      <w:r w:rsidRPr="00154D00">
        <w:t>If instructions are sent by email, please don’t also send a paper copy.</w:t>
      </w:r>
    </w:p>
    <w:p w:rsidR="00DC1944" w:rsidRPr="00154D00" w:rsidRDefault="00DC1944" w:rsidP="00DC1944">
      <w:pPr>
        <w:pStyle w:val="BodyNum"/>
        <w:rPr>
          <w:szCs w:val="24"/>
        </w:rPr>
      </w:pPr>
      <w:r w:rsidRPr="00154D00">
        <w:rPr>
          <w:szCs w:val="24"/>
        </w:rPr>
        <w:t>Instructions that are classified as protected, or that are required to bear a dissemination limiting marker (such as “sensitive legal”), should not be sent by email unless the instructing agency is on Fedlink at the appropriate security level.</w:t>
      </w:r>
    </w:p>
    <w:p w:rsidR="00DC1944" w:rsidRPr="00154D00" w:rsidRDefault="00DC1944" w:rsidP="00DC1944">
      <w:pPr>
        <w:pStyle w:val="BodyNum"/>
        <w:rPr>
          <w:szCs w:val="24"/>
        </w:rPr>
      </w:pPr>
      <w:r w:rsidRPr="00154D00">
        <w:rPr>
          <w:szCs w:val="24"/>
        </w:rPr>
        <w:t>If instructions cannot be sent by email, please contact OPC to discuss delivery arrangements.</w:t>
      </w:r>
    </w:p>
    <w:p w:rsidR="00DC1944" w:rsidRPr="00154D00" w:rsidRDefault="00DC1944" w:rsidP="00DC1944">
      <w:pPr>
        <w:pStyle w:val="BodyNum"/>
      </w:pPr>
      <w:bookmarkStart w:id="7" w:name="_Ref388520405"/>
      <w:r w:rsidRPr="00154D00">
        <w:t>Receipt of instructions will be acknowledged by OPC. If instructions have been sent to OPC, and the instructors have not received an acknowledgement of receipt within 2 working days, they should contact:</w:t>
      </w:r>
    </w:p>
    <w:p w:rsidR="00DC1944" w:rsidRPr="00154D00" w:rsidRDefault="00DC1944" w:rsidP="00DC1944">
      <w:pPr>
        <w:pStyle w:val="BodyPara"/>
      </w:pPr>
      <w:r w:rsidRPr="00154D00">
        <w:t>for Bills—FPC (rather than Bill client advisers); or</w:t>
      </w:r>
    </w:p>
    <w:p w:rsidR="00DC1944" w:rsidRPr="00154D00" w:rsidRDefault="00DC1944" w:rsidP="00DC1944">
      <w:pPr>
        <w:pStyle w:val="BodyPara"/>
      </w:pPr>
      <w:r w:rsidRPr="00154D00">
        <w:t xml:space="preserve">for instruments—FPC or the agency’s </w:t>
      </w:r>
      <w:hyperlink r:id="rId23" w:history="1">
        <w:r w:rsidRPr="00EF2146">
          <w:rPr>
            <w:rStyle w:val="Hyperlink"/>
            <w:u w:val="none"/>
          </w:rPr>
          <w:t>instrument client adviser</w:t>
        </w:r>
      </w:hyperlink>
      <w:r w:rsidRPr="00154D00">
        <w:t>.</w:t>
      </w:r>
    </w:p>
    <w:p w:rsidR="00DC1944" w:rsidRPr="00154D00" w:rsidRDefault="00DC1944" w:rsidP="00154D00">
      <w:pPr>
        <w:pStyle w:val="Head2"/>
      </w:pPr>
      <w:bookmarkStart w:id="8" w:name="_Toc452111460"/>
      <w:bookmarkEnd w:id="7"/>
      <w:r w:rsidRPr="00154D00">
        <w:lastRenderedPageBreak/>
        <w:t>Form and content of instructions: some basic matters</w:t>
      </w:r>
      <w:bookmarkEnd w:id="8"/>
    </w:p>
    <w:p w:rsidR="00DC1944" w:rsidRPr="00154D00" w:rsidRDefault="00DC1944" w:rsidP="00DC1944">
      <w:pPr>
        <w:pStyle w:val="BodyNum"/>
      </w:pPr>
      <w:r w:rsidRPr="00154D00">
        <w:t>Initial drafting instructions should almost always be given in writing, but in extremely urgent cases oral instructions may be sufficient.</w:t>
      </w:r>
    </w:p>
    <w:p w:rsidR="00DC1944" w:rsidRPr="00154D00" w:rsidRDefault="00DC1944" w:rsidP="00DC1944">
      <w:pPr>
        <w:pStyle w:val="BodyNum"/>
      </w:pPr>
      <w:r w:rsidRPr="00154D00">
        <w:t>It is helpful if instructions are set out in numbered paragraphs and on numbered pages. They should also be dated.</w:t>
      </w:r>
    </w:p>
    <w:p w:rsidR="00DC1944" w:rsidRPr="00154D00" w:rsidRDefault="00DC1944" w:rsidP="00DC1944">
      <w:pPr>
        <w:pStyle w:val="BodyNum"/>
      </w:pPr>
      <w:r w:rsidRPr="00154D00">
        <w:t>If there is any aspect of the instructions that is incomplete, or that is subject to possible change, this should be mentioned.</w:t>
      </w:r>
    </w:p>
    <w:p w:rsidR="00DC1944" w:rsidRPr="00154D00" w:rsidRDefault="00DC1944" w:rsidP="00DC1944">
      <w:pPr>
        <w:pStyle w:val="BodyNum"/>
      </w:pPr>
      <w:r w:rsidRPr="00154D00">
        <w:t>Separate drafting instructions should be provided for Bills and for instruments (even on projects where both Bill and instrument drafting will be needed).</w:t>
      </w:r>
    </w:p>
    <w:p w:rsidR="00DC1944" w:rsidRPr="00154D00" w:rsidRDefault="00DC1944" w:rsidP="00154D00">
      <w:pPr>
        <w:pStyle w:val="Head2"/>
      </w:pPr>
      <w:bookmarkStart w:id="9" w:name="_Toc452111461"/>
      <w:r w:rsidRPr="00154D00">
        <w:t>Checklist for instructions</w:t>
      </w:r>
      <w:bookmarkEnd w:id="9"/>
    </w:p>
    <w:p w:rsidR="00DC1944" w:rsidRPr="00154D00" w:rsidRDefault="00DC1944" w:rsidP="00DC1944">
      <w:pPr>
        <w:pStyle w:val="BodyNum"/>
      </w:pPr>
      <w:r w:rsidRPr="00154D00">
        <w:t>A checklist for drafting instructions is set out below. Using this checklist will help instructors ensure that they consider and address all appropriate matters. There will be elements of the checklist that are not necessary, or that need to be adapted, for particular projects.</w:t>
      </w:r>
    </w:p>
    <w:p w:rsidR="00DC1944" w:rsidRPr="00154D00" w:rsidRDefault="00DC1944" w:rsidP="00DC1944">
      <w:pPr>
        <w:pStyle w:val="BodyNum"/>
      </w:pPr>
      <w:r w:rsidRPr="00154D00">
        <w:t>Bear in mind that the drafters are not policy insiders, and they are therefore likely to need more detail and explanation than would be needed for the purpose of in</w:t>
      </w:r>
      <w:r w:rsidR="00E3060E">
        <w:noBreakHyphen/>
      </w:r>
      <w:r w:rsidRPr="00154D00">
        <w:t>house communications within the instructing agency. Delays and misunderstandings can occur because officers of the instructing agency have become so familiar with the policy that they treat some matters as common knowledge, and develop an in</w:t>
      </w:r>
      <w:r w:rsidR="00E3060E">
        <w:noBreakHyphen/>
      </w:r>
      <w:r w:rsidRPr="00154D00">
        <w:t>house language that compresses information into an informal shorthand. The drafting instructions will need to communicate any relevant “common knowledge”, and explain the meaning of any “shorthand” that is used.</w:t>
      </w:r>
    </w:p>
    <w:p w:rsidR="00DC1944" w:rsidRPr="00154D00" w:rsidRDefault="00DC1944" w:rsidP="00DC194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16"/>
        <w:gridCol w:w="6196"/>
      </w:tblGrid>
      <w:tr w:rsidR="00DC1944" w:rsidRPr="00154D00" w:rsidTr="00C45CCE">
        <w:trPr>
          <w:tblHeader/>
        </w:trPr>
        <w:tc>
          <w:tcPr>
            <w:tcW w:w="9026" w:type="dxa"/>
            <w:gridSpan w:val="3"/>
            <w:tcBorders>
              <w:top w:val="single" w:sz="12" w:space="0" w:color="auto"/>
              <w:bottom w:val="single" w:sz="6" w:space="0" w:color="auto"/>
            </w:tcBorders>
            <w:shd w:val="clear" w:color="auto" w:fill="auto"/>
          </w:tcPr>
          <w:p w:rsidR="00DC1944" w:rsidRPr="00154D00" w:rsidRDefault="00DC1944" w:rsidP="006450D5">
            <w:pPr>
              <w:pStyle w:val="TableHeading"/>
              <w:rPr>
                <w:sz w:val="28"/>
                <w:szCs w:val="28"/>
              </w:rPr>
            </w:pPr>
            <w:r w:rsidRPr="00154D00">
              <w:rPr>
                <w:sz w:val="28"/>
                <w:szCs w:val="28"/>
              </w:rPr>
              <w:t>Checklist for instructions</w:t>
            </w:r>
          </w:p>
        </w:tc>
      </w:tr>
      <w:tr w:rsidR="00DC1944" w:rsidRPr="00154D00" w:rsidTr="00C45CCE">
        <w:tc>
          <w:tcPr>
            <w:tcW w:w="9026" w:type="dxa"/>
            <w:gridSpan w:val="3"/>
            <w:tcBorders>
              <w:top w:val="single" w:sz="12" w:space="0" w:color="auto"/>
            </w:tcBorders>
            <w:shd w:val="clear" w:color="auto" w:fill="auto"/>
          </w:tcPr>
          <w:p w:rsidR="00DC1944" w:rsidRPr="00154D00" w:rsidRDefault="00DC1944" w:rsidP="00C45CCE">
            <w:pPr>
              <w:pStyle w:val="Tabletext"/>
              <w:rPr>
                <w:b/>
                <w:sz w:val="24"/>
                <w:szCs w:val="24"/>
              </w:rPr>
            </w:pPr>
            <w:r w:rsidRPr="00154D00">
              <w:rPr>
                <w:b/>
                <w:sz w:val="24"/>
                <w:szCs w:val="24"/>
              </w:rPr>
              <w:t>1. Preliminary matters</w:t>
            </w:r>
          </w:p>
        </w:tc>
      </w:tr>
      <w:tr w:rsidR="00DC1944" w:rsidRPr="00154D00" w:rsidTr="00C45CCE">
        <w:tc>
          <w:tcPr>
            <w:tcW w:w="714" w:type="dxa"/>
            <w:shd w:val="clear" w:color="auto" w:fill="auto"/>
          </w:tcPr>
          <w:p w:rsidR="00DC1944" w:rsidRPr="00154D00" w:rsidRDefault="00DC1944" w:rsidP="00C45CCE">
            <w:pPr>
              <w:pStyle w:val="Tabletext"/>
            </w:pPr>
            <w:r w:rsidRPr="00154D00">
              <w:t>1.1</w:t>
            </w:r>
          </w:p>
        </w:tc>
        <w:tc>
          <w:tcPr>
            <w:tcW w:w="2116" w:type="dxa"/>
            <w:shd w:val="clear" w:color="auto" w:fill="auto"/>
          </w:tcPr>
          <w:p w:rsidR="00DC1944" w:rsidRPr="00154D00" w:rsidRDefault="00DC1944" w:rsidP="00C45CCE">
            <w:pPr>
              <w:pStyle w:val="Tabletext"/>
            </w:pPr>
            <w:r w:rsidRPr="00154D00">
              <w:t>Priority</w:t>
            </w:r>
          </w:p>
        </w:tc>
        <w:tc>
          <w:tcPr>
            <w:tcW w:w="6196" w:type="dxa"/>
            <w:shd w:val="clear" w:color="auto" w:fill="auto"/>
          </w:tcPr>
          <w:p w:rsidR="00DC1944" w:rsidRPr="00154D00" w:rsidRDefault="00DC1944" w:rsidP="00C45CCE">
            <w:pPr>
              <w:pStyle w:val="Tabletext"/>
            </w:pPr>
            <w:r w:rsidRPr="00154D00">
              <w:t>1. For a Bill, state the priority allocated by the PBC. If priority has not yet been allocated, state what priority will be sought and what is being done to obtain that priority.</w:t>
            </w:r>
          </w:p>
          <w:p w:rsidR="00DC1944" w:rsidRPr="00154D00" w:rsidRDefault="00DC1944" w:rsidP="00C45CCE">
            <w:pPr>
              <w:pStyle w:val="Tabletext"/>
            </w:pPr>
            <w:r w:rsidRPr="00154D00">
              <w:t>2. For an ExCo legislative instrument, state the priority sought for the instrument in a bid to OPC. If a bid has not yet been submitted, state what priority will be sought and what is being done about bidding for that priority.</w:t>
            </w:r>
          </w:p>
          <w:p w:rsidR="00DC1944" w:rsidRPr="00154D00" w:rsidRDefault="00DC1944" w:rsidP="00C45CCE">
            <w:pPr>
              <w:pStyle w:val="Tabletext"/>
            </w:pPr>
            <w:r w:rsidRPr="00154D00">
              <w:t>3. For other instruments, include information about any relevant timeframes.</w:t>
            </w:r>
          </w:p>
          <w:p w:rsidR="00DC1944" w:rsidRPr="00154D00" w:rsidRDefault="00DC1944">
            <w:pPr>
              <w:pStyle w:val="Tabletext"/>
            </w:pPr>
            <w:r w:rsidRPr="00154D00">
              <w:t>4. For more information about priorities, see Chapter 3</w:t>
            </w:r>
            <w:r w:rsidR="008A1133" w:rsidRPr="00154D00">
              <w:t xml:space="preserve"> of the </w:t>
            </w:r>
            <w:hyperlink r:id="rId24" w:history="1">
              <w:r w:rsidR="005D52E3" w:rsidRPr="00EF2146">
                <w:rPr>
                  <w:rStyle w:val="Hyperlink"/>
                  <w:u w:val="none"/>
                </w:rPr>
                <w:t>Client Guide</w:t>
              </w:r>
            </w:hyperlink>
            <w:r w:rsidRPr="00154D00">
              <w:t>.</w:t>
            </w:r>
          </w:p>
        </w:tc>
      </w:tr>
      <w:tr w:rsidR="00DC1944" w:rsidRPr="00154D00" w:rsidTr="00C45CCE">
        <w:tc>
          <w:tcPr>
            <w:tcW w:w="714" w:type="dxa"/>
            <w:shd w:val="clear" w:color="auto" w:fill="auto"/>
          </w:tcPr>
          <w:p w:rsidR="00DC1944" w:rsidRPr="00154D00" w:rsidRDefault="00DC1944" w:rsidP="00C45CCE">
            <w:pPr>
              <w:pStyle w:val="Tabletext"/>
            </w:pPr>
            <w:r w:rsidRPr="00154D00">
              <w:t>1.2</w:t>
            </w:r>
          </w:p>
        </w:tc>
        <w:tc>
          <w:tcPr>
            <w:tcW w:w="2116" w:type="dxa"/>
            <w:shd w:val="clear" w:color="auto" w:fill="auto"/>
          </w:tcPr>
          <w:p w:rsidR="00DC1944" w:rsidRPr="00154D00" w:rsidRDefault="00DC1944" w:rsidP="00C45CCE">
            <w:pPr>
              <w:pStyle w:val="Tabletext"/>
            </w:pPr>
            <w:r w:rsidRPr="00154D00">
              <w:t>Policy authority</w:t>
            </w:r>
          </w:p>
        </w:tc>
        <w:tc>
          <w:tcPr>
            <w:tcW w:w="6196" w:type="dxa"/>
            <w:shd w:val="clear" w:color="auto" w:fill="auto"/>
          </w:tcPr>
          <w:p w:rsidR="00DC1944" w:rsidRPr="00154D00" w:rsidRDefault="00DC1944" w:rsidP="00C45CCE">
            <w:pPr>
              <w:pStyle w:val="Tabletext"/>
            </w:pPr>
            <w:r w:rsidRPr="00154D00">
              <w:t>1. For Bills, provide details of the policy authority. The details should include:</w:t>
            </w:r>
          </w:p>
          <w:p w:rsidR="00DC1944" w:rsidRPr="00154D00" w:rsidRDefault="00DC1944" w:rsidP="00C45CCE">
            <w:pPr>
              <w:pStyle w:val="Tablea"/>
            </w:pPr>
            <w:r w:rsidRPr="00154D00">
              <w:t>(a)</w:t>
            </w:r>
            <w:r w:rsidRPr="00154D00">
              <w:tab/>
              <w:t>for Cabinet decisions: the number and date of the relevant Cabinet Minute; or</w:t>
            </w:r>
          </w:p>
          <w:p w:rsidR="00DC1944" w:rsidRPr="00154D00" w:rsidRDefault="00DC1944" w:rsidP="00C45CCE">
            <w:pPr>
              <w:pStyle w:val="Tablea"/>
            </w:pPr>
            <w:r w:rsidRPr="00154D00">
              <w:t>(b)</w:t>
            </w:r>
            <w:r w:rsidRPr="00154D00">
              <w:tab/>
              <w:t xml:space="preserve">for other kinds of authority: the name and title of the person who gave the authority, and date on which the authority was given; also, please provide copies of any letters etc. seeking or granting authority either </w:t>
            </w:r>
            <w:r w:rsidRPr="00154D00">
              <w:lastRenderedPageBreak/>
              <w:t>with the drafting instructions, or as soon as possible after the letters etc. are sent or received.</w:t>
            </w:r>
          </w:p>
          <w:p w:rsidR="00DC1944" w:rsidRPr="00154D00" w:rsidRDefault="00DC1944" w:rsidP="00C45CCE">
            <w:pPr>
              <w:pStyle w:val="Tabletext"/>
            </w:pPr>
            <w:r w:rsidRPr="00154D00">
              <w:t>2. For ExCo legislative instruments, provide a copy of the policy authority from the Minister, or (if Cabinet has given authority) the number and date of the Cabinet Minute</w:t>
            </w:r>
            <w:r w:rsidRPr="00154D00">
              <w:rPr>
                <w:i/>
              </w:rPr>
              <w:t>.</w:t>
            </w:r>
          </w:p>
          <w:p w:rsidR="00DC1944" w:rsidRPr="00154D00" w:rsidRDefault="00DC1944" w:rsidP="00C45CCE">
            <w:pPr>
              <w:pStyle w:val="Tabletext"/>
            </w:pPr>
            <w:r w:rsidRPr="00154D00">
              <w:t>3. For other instruments, indicate whether the rule</w:t>
            </w:r>
            <w:r w:rsidR="00E3060E">
              <w:noBreakHyphen/>
            </w:r>
            <w:r w:rsidRPr="00154D00">
              <w:t>maker has approved the general policy that is to be implemented.</w:t>
            </w:r>
          </w:p>
          <w:p w:rsidR="00DC1944" w:rsidRPr="00154D00" w:rsidRDefault="00DC1944" w:rsidP="00C45CCE">
            <w:pPr>
              <w:pStyle w:val="Tabletext"/>
            </w:pPr>
            <w:r w:rsidRPr="00154D00">
              <w:t>4. If policy authority has not yet been obtained, state what is being done to obtain it.</w:t>
            </w:r>
          </w:p>
          <w:p w:rsidR="00DC1944" w:rsidRPr="00154D00" w:rsidRDefault="00DC1944" w:rsidP="00C45CCE">
            <w:pPr>
              <w:pStyle w:val="Tabletext"/>
            </w:pPr>
            <w:r w:rsidRPr="00154D00">
              <w:t>5. For more information about policy authority, see Chapter 3</w:t>
            </w:r>
            <w:r w:rsidR="008A1133" w:rsidRPr="00154D00">
              <w:t xml:space="preserve"> of the </w:t>
            </w:r>
            <w:hyperlink r:id="rId25" w:history="1">
              <w:r w:rsidR="005D52E3" w:rsidRPr="00EF2146">
                <w:rPr>
                  <w:rStyle w:val="Hyperlink"/>
                  <w:u w:val="none"/>
                </w:rPr>
                <w:t>Client Guide</w:t>
              </w:r>
            </w:hyperlink>
            <w:r w:rsidRPr="00154D00">
              <w:t>.</w:t>
            </w:r>
          </w:p>
        </w:tc>
      </w:tr>
      <w:tr w:rsidR="00DC1944" w:rsidRPr="00154D00" w:rsidTr="00C45CCE">
        <w:tc>
          <w:tcPr>
            <w:tcW w:w="714" w:type="dxa"/>
            <w:shd w:val="clear" w:color="auto" w:fill="auto"/>
          </w:tcPr>
          <w:p w:rsidR="00DC1944" w:rsidRPr="00154D00" w:rsidRDefault="00DC1944" w:rsidP="00C45CCE">
            <w:pPr>
              <w:pStyle w:val="Tabletext"/>
            </w:pPr>
            <w:r w:rsidRPr="00154D00">
              <w:lastRenderedPageBreak/>
              <w:t>1.3</w:t>
            </w:r>
          </w:p>
        </w:tc>
        <w:tc>
          <w:tcPr>
            <w:tcW w:w="2116" w:type="dxa"/>
            <w:shd w:val="clear" w:color="auto" w:fill="auto"/>
          </w:tcPr>
          <w:p w:rsidR="00DC1944" w:rsidRPr="00154D00" w:rsidRDefault="00DC1944" w:rsidP="00C45CCE">
            <w:pPr>
              <w:pStyle w:val="Tabletext"/>
            </w:pPr>
            <w:r w:rsidRPr="00154D00">
              <w:t>Timetable</w:t>
            </w:r>
          </w:p>
        </w:tc>
        <w:tc>
          <w:tcPr>
            <w:tcW w:w="6196" w:type="dxa"/>
            <w:shd w:val="clear" w:color="auto" w:fill="auto"/>
          </w:tcPr>
          <w:p w:rsidR="00DC1944" w:rsidRPr="00154D00" w:rsidRDefault="00DC1944" w:rsidP="00C45CCE">
            <w:pPr>
              <w:pStyle w:val="Tabletext"/>
            </w:pPr>
            <w:r w:rsidRPr="00154D00">
              <w:t>1. Set out a timetable for the project. This should include:</w:t>
            </w:r>
          </w:p>
          <w:p w:rsidR="00DC1944" w:rsidRPr="00154D00" w:rsidRDefault="00DC1944" w:rsidP="00C45CCE">
            <w:pPr>
              <w:pStyle w:val="Tablea"/>
            </w:pPr>
            <w:r w:rsidRPr="00154D00">
              <w:t>(a)</w:t>
            </w:r>
            <w:r w:rsidRPr="00154D00">
              <w:tab/>
              <w:t>the proposed commencement date; and</w:t>
            </w:r>
          </w:p>
          <w:p w:rsidR="00DC1944" w:rsidRPr="00154D00" w:rsidRDefault="00DC1944" w:rsidP="00C45CCE">
            <w:pPr>
              <w:pStyle w:val="Tablea"/>
            </w:pPr>
            <w:r w:rsidRPr="00154D00">
              <w:t>(b)</w:t>
            </w:r>
            <w:r w:rsidRPr="00154D00">
              <w:tab/>
              <w:t xml:space="preserve">the proposed week for introduction in Parliament (for Bills), the proposed </w:t>
            </w:r>
            <w:r w:rsidR="003D4238" w:rsidRPr="00154D00">
              <w:t>Executive Council</w:t>
            </w:r>
            <w:r w:rsidRPr="00154D00">
              <w:t xml:space="preserve"> meeting (for ExCo instruments) or the proposed date for making (for other instruments); and</w:t>
            </w:r>
          </w:p>
          <w:p w:rsidR="00DC1944" w:rsidRPr="00154D00" w:rsidRDefault="00DC1944" w:rsidP="00C45CCE">
            <w:pPr>
              <w:pStyle w:val="Tablea"/>
            </w:pPr>
            <w:r w:rsidRPr="00154D00">
              <w:t>(c)</w:t>
            </w:r>
            <w:r w:rsidRPr="00154D00">
              <w:tab/>
              <w:t>if it is intended to undertake consultation on a draft of the Bill or instrument (for example, by release of an exposure draft)—the timetable for that consultation and for instructing OPC on the outcomes of the consultation; and</w:t>
            </w:r>
          </w:p>
          <w:p w:rsidR="00DC1944" w:rsidRPr="00154D00" w:rsidRDefault="00DC1944" w:rsidP="00C45CCE">
            <w:pPr>
              <w:pStyle w:val="Tablea"/>
            </w:pPr>
            <w:r w:rsidRPr="00154D00">
              <w:t>(d)</w:t>
            </w:r>
            <w:r w:rsidRPr="00154D00">
              <w:tab/>
              <w:t>any other deadlines that the drafters may need to be aware of, and any other matters that may affect the timetable.</w:t>
            </w:r>
          </w:p>
          <w:p w:rsidR="00DC1944" w:rsidRPr="00154D00" w:rsidRDefault="00DC1944" w:rsidP="00C45CCE">
            <w:pPr>
              <w:pStyle w:val="Tablea"/>
            </w:pPr>
            <w:r w:rsidRPr="00154D00">
              <w:t>2. If you don’t know specific dates or weeks, just give a rough indication.</w:t>
            </w:r>
          </w:p>
        </w:tc>
      </w:tr>
      <w:tr w:rsidR="00DC1944" w:rsidRPr="00154D00" w:rsidTr="00C45CCE">
        <w:tc>
          <w:tcPr>
            <w:tcW w:w="714" w:type="dxa"/>
            <w:shd w:val="clear" w:color="auto" w:fill="auto"/>
          </w:tcPr>
          <w:p w:rsidR="00DC1944" w:rsidRPr="00154D00" w:rsidRDefault="00DC1944" w:rsidP="00C45CCE">
            <w:pPr>
              <w:pStyle w:val="Tabletext"/>
            </w:pPr>
            <w:r w:rsidRPr="00154D00">
              <w:t>1.4</w:t>
            </w:r>
          </w:p>
        </w:tc>
        <w:tc>
          <w:tcPr>
            <w:tcW w:w="2116" w:type="dxa"/>
            <w:shd w:val="clear" w:color="auto" w:fill="auto"/>
          </w:tcPr>
          <w:p w:rsidR="00DC1944" w:rsidRPr="00154D00" w:rsidRDefault="00DC1944" w:rsidP="00C45CCE">
            <w:pPr>
              <w:pStyle w:val="Tabletext"/>
            </w:pPr>
            <w:r w:rsidRPr="00154D00">
              <w:t>Proposed short title or name</w:t>
            </w:r>
          </w:p>
        </w:tc>
        <w:tc>
          <w:tcPr>
            <w:tcW w:w="6196" w:type="dxa"/>
            <w:shd w:val="clear" w:color="auto" w:fill="auto"/>
          </w:tcPr>
          <w:p w:rsidR="00DC1944" w:rsidRPr="00154D00" w:rsidRDefault="00DC1944" w:rsidP="00C45CCE">
            <w:pPr>
              <w:pStyle w:val="Tabletext"/>
            </w:pPr>
            <w:r w:rsidRPr="00154D00">
              <w:t>1. If you would like the Bill or instrument to have a particular short title or name, please specify it (this only needs to be indicative). There are certain conventions that apply, and the drafters will discuss options with you if your proposal does not comply with the conventions.</w:t>
            </w:r>
          </w:p>
          <w:p w:rsidR="00DC1944" w:rsidRPr="00154D00" w:rsidRDefault="00DC1944" w:rsidP="00C45CCE">
            <w:pPr>
              <w:pStyle w:val="Tabletext"/>
            </w:pPr>
            <w:r w:rsidRPr="00154D00">
              <w:t>2. If the proposed short title or name is different from the one that has been used in a bid for the Bill or instrument, please state this.</w:t>
            </w:r>
          </w:p>
          <w:p w:rsidR="00DC1944" w:rsidRPr="00154D00" w:rsidRDefault="00DC1944" w:rsidP="00C45CCE">
            <w:pPr>
              <w:pStyle w:val="Tabletext"/>
            </w:pPr>
            <w:r w:rsidRPr="00154D00">
              <w:t>3. If you have no particular preference for the short title or name, the drafters will suggest one.</w:t>
            </w:r>
          </w:p>
          <w:p w:rsidR="00DC1944" w:rsidRPr="00154D00" w:rsidRDefault="00DC1944" w:rsidP="00C45CCE">
            <w:pPr>
              <w:pStyle w:val="Tabletext"/>
            </w:pPr>
            <w:r w:rsidRPr="00154D00">
              <w:t>4. The short title or name may change during the drafting process.</w:t>
            </w:r>
          </w:p>
        </w:tc>
      </w:tr>
      <w:tr w:rsidR="00DC1944" w:rsidRPr="00154D00" w:rsidTr="00C45CCE">
        <w:tc>
          <w:tcPr>
            <w:tcW w:w="714" w:type="dxa"/>
            <w:shd w:val="clear" w:color="auto" w:fill="auto"/>
          </w:tcPr>
          <w:p w:rsidR="00DC1944" w:rsidRPr="00154D00" w:rsidRDefault="00DC1944" w:rsidP="00C45CCE">
            <w:pPr>
              <w:pStyle w:val="Tabletext"/>
            </w:pPr>
            <w:r w:rsidRPr="00154D00">
              <w:t>1.5</w:t>
            </w:r>
          </w:p>
        </w:tc>
        <w:tc>
          <w:tcPr>
            <w:tcW w:w="2116" w:type="dxa"/>
            <w:shd w:val="clear" w:color="auto" w:fill="auto"/>
          </w:tcPr>
          <w:p w:rsidR="00DC1944" w:rsidRPr="00154D00" w:rsidRDefault="00DC1944" w:rsidP="00C45CCE">
            <w:pPr>
              <w:pStyle w:val="Tabletext"/>
            </w:pPr>
            <w:r w:rsidRPr="00154D00">
              <w:t>Instruments only: source of power</w:t>
            </w:r>
          </w:p>
        </w:tc>
        <w:tc>
          <w:tcPr>
            <w:tcW w:w="6196" w:type="dxa"/>
            <w:shd w:val="clear" w:color="auto" w:fill="auto"/>
          </w:tcPr>
          <w:p w:rsidR="00DC1944" w:rsidRPr="00154D00" w:rsidRDefault="00DC1944" w:rsidP="00C45CCE">
            <w:pPr>
              <w:pStyle w:val="Tabletext"/>
            </w:pPr>
            <w:r w:rsidRPr="00154D00">
              <w:t>1. If the instructions are for an instrument, state:</w:t>
            </w:r>
          </w:p>
          <w:p w:rsidR="00DC1944" w:rsidRPr="00154D00" w:rsidRDefault="00DC1944" w:rsidP="00C45CCE">
            <w:pPr>
              <w:pStyle w:val="Tablea"/>
            </w:pPr>
            <w:r w:rsidRPr="00154D00">
              <w:t>(a)</w:t>
            </w:r>
            <w:r w:rsidRPr="00154D00">
              <w:tab/>
              <w:t xml:space="preserve">the name and provision of the Act or instrument (the </w:t>
            </w:r>
            <w:r w:rsidRPr="00154D00">
              <w:rPr>
                <w:b/>
                <w:i/>
              </w:rPr>
              <w:t>enabling legislation</w:t>
            </w:r>
            <w:r w:rsidRPr="00154D00">
              <w:t>) that confers power to make the proposed instrument; and</w:t>
            </w:r>
          </w:p>
          <w:p w:rsidR="00DC1944" w:rsidRPr="00154D00" w:rsidRDefault="00DC1944" w:rsidP="00C45CCE">
            <w:pPr>
              <w:pStyle w:val="Tablea"/>
            </w:pPr>
            <w:r w:rsidRPr="00154D00">
              <w:t>(b)</w:t>
            </w:r>
            <w:r w:rsidRPr="00154D00">
              <w:tab/>
              <w:t>the title of the person who will make the instrument, and (for an ExCo instrument), the title of the Minister sponsoring the instrument.</w:t>
            </w:r>
          </w:p>
        </w:tc>
      </w:tr>
      <w:tr w:rsidR="00DC1944" w:rsidRPr="00154D00" w:rsidTr="00C45CCE">
        <w:tc>
          <w:tcPr>
            <w:tcW w:w="714" w:type="dxa"/>
            <w:shd w:val="clear" w:color="auto" w:fill="auto"/>
          </w:tcPr>
          <w:p w:rsidR="00DC1944" w:rsidRPr="00154D00" w:rsidRDefault="00DC1944" w:rsidP="00C45CCE">
            <w:pPr>
              <w:pStyle w:val="Tabletext"/>
            </w:pPr>
            <w:r w:rsidRPr="00154D00">
              <w:t>1.6</w:t>
            </w:r>
          </w:p>
        </w:tc>
        <w:tc>
          <w:tcPr>
            <w:tcW w:w="2116" w:type="dxa"/>
            <w:shd w:val="clear" w:color="auto" w:fill="auto"/>
          </w:tcPr>
          <w:p w:rsidR="00DC1944" w:rsidRPr="00154D00" w:rsidRDefault="00DC1944" w:rsidP="00C45CCE">
            <w:pPr>
              <w:pStyle w:val="Tabletext"/>
            </w:pPr>
            <w:r w:rsidRPr="00154D00">
              <w:t>Consultations with other agencies</w:t>
            </w:r>
          </w:p>
          <w:p w:rsidR="00DC1944" w:rsidRPr="00154D00" w:rsidRDefault="00DC1944" w:rsidP="00C45CCE">
            <w:pPr>
              <w:pStyle w:val="Tabletext"/>
            </w:pPr>
          </w:p>
        </w:tc>
        <w:tc>
          <w:tcPr>
            <w:tcW w:w="6196" w:type="dxa"/>
            <w:shd w:val="clear" w:color="auto" w:fill="auto"/>
          </w:tcPr>
          <w:p w:rsidR="00DC1944" w:rsidRPr="00154D00" w:rsidRDefault="00DC1944" w:rsidP="00C45CCE">
            <w:pPr>
              <w:pStyle w:val="Tabletext"/>
            </w:pPr>
            <w:r w:rsidRPr="00154D00">
              <w:t>1. Mention any significant consultations with other agencies that you have had or intend to have. This is particularly important in the case of other agencies that have whole</w:t>
            </w:r>
            <w:r w:rsidR="00E3060E">
              <w:noBreakHyphen/>
            </w:r>
            <w:r w:rsidRPr="00154D00">
              <w:t>of</w:t>
            </w:r>
            <w:r w:rsidR="00E3060E">
              <w:noBreakHyphen/>
            </w:r>
            <w:r w:rsidRPr="00154D00">
              <w:t>government policy responsibility for particular matters (for example, the responsibility of AGD for Commonwealth criminal law policy).</w:t>
            </w:r>
          </w:p>
          <w:p w:rsidR="00DC1944" w:rsidRPr="00154D00" w:rsidRDefault="00DC1944" w:rsidP="00C45CCE">
            <w:pPr>
              <w:pStyle w:val="Tabletext"/>
            </w:pPr>
            <w:r w:rsidRPr="00154D00">
              <w:t>2. For more information, see Chapter 5</w:t>
            </w:r>
            <w:r w:rsidR="008A1133" w:rsidRPr="00154D00">
              <w:t xml:space="preserve"> of the </w:t>
            </w:r>
            <w:hyperlink r:id="rId26" w:history="1">
              <w:r w:rsidR="005D52E3" w:rsidRPr="00EF2146">
                <w:rPr>
                  <w:rStyle w:val="Hyperlink"/>
                  <w:u w:val="none"/>
                </w:rPr>
                <w:t>Client Guide</w:t>
              </w:r>
            </w:hyperlink>
            <w:r w:rsidRPr="00154D00">
              <w:t xml:space="preserve">, and the PM&amp;C </w:t>
            </w:r>
            <w:hyperlink r:id="rId27" w:history="1">
              <w:r w:rsidRPr="00EF2146">
                <w:rPr>
                  <w:rStyle w:val="Hyperlink"/>
                  <w:u w:val="none"/>
                </w:rPr>
                <w:t>Legislation Handbook</w:t>
              </w:r>
            </w:hyperlink>
            <w:r w:rsidRPr="00154D00">
              <w:t>.</w:t>
            </w:r>
          </w:p>
        </w:tc>
      </w:tr>
      <w:tr w:rsidR="00DC1944" w:rsidRPr="00154D00" w:rsidTr="00C45CCE">
        <w:tc>
          <w:tcPr>
            <w:tcW w:w="714" w:type="dxa"/>
            <w:shd w:val="clear" w:color="auto" w:fill="auto"/>
          </w:tcPr>
          <w:p w:rsidR="00DC1944" w:rsidRPr="00154D00" w:rsidRDefault="00DC1944" w:rsidP="00C45CCE">
            <w:pPr>
              <w:pStyle w:val="Tabletext"/>
            </w:pPr>
            <w:r w:rsidRPr="00154D00">
              <w:t>1.7</w:t>
            </w:r>
          </w:p>
        </w:tc>
        <w:tc>
          <w:tcPr>
            <w:tcW w:w="2116" w:type="dxa"/>
            <w:shd w:val="clear" w:color="auto" w:fill="auto"/>
          </w:tcPr>
          <w:p w:rsidR="00DC1944" w:rsidRPr="00154D00" w:rsidRDefault="00DC1944" w:rsidP="00C45CCE">
            <w:pPr>
              <w:pStyle w:val="Tabletext"/>
            </w:pPr>
            <w:r w:rsidRPr="00154D00">
              <w:t>Legal opinions</w:t>
            </w:r>
          </w:p>
        </w:tc>
        <w:tc>
          <w:tcPr>
            <w:tcW w:w="6196" w:type="dxa"/>
            <w:shd w:val="clear" w:color="auto" w:fill="auto"/>
          </w:tcPr>
          <w:p w:rsidR="00DC1944" w:rsidRPr="00154D00" w:rsidRDefault="00DC1944" w:rsidP="00C45CCE">
            <w:pPr>
              <w:pStyle w:val="Tabletext"/>
            </w:pPr>
            <w:r w:rsidRPr="00154D00">
              <w:t>1. Mention and attach any relevant legal opinions from AGS, the instructing agency’s legal area or elsewhere. Don’t assume that the drafters will be aware of relevant opinions or particular legal issues. OPC will respect the confidentiality of all legal opinions that are provided.</w:t>
            </w:r>
          </w:p>
        </w:tc>
      </w:tr>
      <w:tr w:rsidR="00DC1944" w:rsidRPr="00154D00" w:rsidTr="00C45CCE">
        <w:tc>
          <w:tcPr>
            <w:tcW w:w="714" w:type="dxa"/>
            <w:shd w:val="clear" w:color="auto" w:fill="auto"/>
          </w:tcPr>
          <w:p w:rsidR="00DC1944" w:rsidRPr="00154D00" w:rsidRDefault="00DC1944" w:rsidP="00C45CCE">
            <w:pPr>
              <w:pStyle w:val="Tabletext"/>
            </w:pPr>
            <w:r w:rsidRPr="00154D00">
              <w:t>1.8</w:t>
            </w:r>
          </w:p>
        </w:tc>
        <w:tc>
          <w:tcPr>
            <w:tcW w:w="2116" w:type="dxa"/>
            <w:shd w:val="clear" w:color="auto" w:fill="auto"/>
          </w:tcPr>
          <w:p w:rsidR="00DC1944" w:rsidRPr="00154D00" w:rsidRDefault="00DC1944" w:rsidP="00C45CCE">
            <w:pPr>
              <w:pStyle w:val="Tabletext"/>
            </w:pPr>
            <w:r w:rsidRPr="00154D00">
              <w:t>Related projects</w:t>
            </w:r>
          </w:p>
        </w:tc>
        <w:tc>
          <w:tcPr>
            <w:tcW w:w="6196" w:type="dxa"/>
            <w:shd w:val="clear" w:color="auto" w:fill="auto"/>
          </w:tcPr>
          <w:p w:rsidR="00DC1944" w:rsidRPr="00154D00" w:rsidRDefault="00DC1944" w:rsidP="00C45CCE">
            <w:pPr>
              <w:pStyle w:val="Tabletext"/>
            </w:pPr>
            <w:r w:rsidRPr="00154D00">
              <w:t>1. Mention any related projects, whether recent, current or proposed (including any such projects for which another agency is responsible).</w:t>
            </w:r>
          </w:p>
        </w:tc>
      </w:tr>
      <w:tr w:rsidR="00DC1944" w:rsidRPr="00154D00" w:rsidTr="00C45CCE">
        <w:tc>
          <w:tcPr>
            <w:tcW w:w="714" w:type="dxa"/>
            <w:shd w:val="clear" w:color="auto" w:fill="auto"/>
          </w:tcPr>
          <w:p w:rsidR="00DC1944" w:rsidRPr="00154D00" w:rsidRDefault="00DC1944" w:rsidP="00C45CCE">
            <w:pPr>
              <w:pStyle w:val="Tabletext"/>
            </w:pPr>
            <w:r w:rsidRPr="00154D00">
              <w:lastRenderedPageBreak/>
              <w:t>1.9</w:t>
            </w:r>
          </w:p>
        </w:tc>
        <w:tc>
          <w:tcPr>
            <w:tcW w:w="2116" w:type="dxa"/>
            <w:shd w:val="clear" w:color="auto" w:fill="auto"/>
          </w:tcPr>
          <w:p w:rsidR="00DC1944" w:rsidRPr="00154D00" w:rsidRDefault="00DC1944" w:rsidP="00C45CCE">
            <w:pPr>
              <w:pStyle w:val="Tabletext"/>
            </w:pPr>
            <w:r w:rsidRPr="00154D00">
              <w:t>Instructors’ details</w:t>
            </w:r>
          </w:p>
        </w:tc>
        <w:tc>
          <w:tcPr>
            <w:tcW w:w="6196" w:type="dxa"/>
            <w:shd w:val="clear" w:color="auto" w:fill="auto"/>
          </w:tcPr>
          <w:p w:rsidR="00DC1944" w:rsidRPr="00154D00" w:rsidRDefault="00DC1944" w:rsidP="00C45CCE">
            <w:pPr>
              <w:pStyle w:val="Tabletext"/>
            </w:pPr>
            <w:r w:rsidRPr="00154D00">
              <w:t>1. Nominate at least 2 instructors. They should be people who have sufficient knowledge of the detail of the project to answer the drafters’ questions and to check whether drafts meet the instructing agency’s requirements and the policy.</w:t>
            </w:r>
          </w:p>
          <w:p w:rsidR="00DC1944" w:rsidRPr="00154D00" w:rsidRDefault="00DC1944" w:rsidP="00C45CCE">
            <w:pPr>
              <w:pStyle w:val="Tabletext"/>
            </w:pPr>
            <w:r w:rsidRPr="00154D00">
              <w:t>2. It is helpful if you also state whether the instructors have any planned absences, because the drafters can then plan their work knowing when the instructors will be available. The drafters will also let the instructors know of their own planned absences.</w:t>
            </w:r>
          </w:p>
        </w:tc>
      </w:tr>
      <w:tr w:rsidR="00DC1944" w:rsidRPr="00154D00" w:rsidTr="00C45CCE">
        <w:tc>
          <w:tcPr>
            <w:tcW w:w="9026" w:type="dxa"/>
            <w:gridSpan w:val="3"/>
            <w:shd w:val="clear" w:color="auto" w:fill="auto"/>
          </w:tcPr>
          <w:p w:rsidR="00DC1944" w:rsidRPr="00154D00" w:rsidRDefault="00DC1944" w:rsidP="00C45CCE">
            <w:pPr>
              <w:pStyle w:val="Tabletext"/>
              <w:rPr>
                <w:b/>
                <w:sz w:val="24"/>
                <w:szCs w:val="24"/>
              </w:rPr>
            </w:pPr>
            <w:r w:rsidRPr="00154D00">
              <w:rPr>
                <w:b/>
                <w:sz w:val="24"/>
                <w:szCs w:val="24"/>
              </w:rPr>
              <w:t>2. The instructions: core matters</w:t>
            </w:r>
          </w:p>
        </w:tc>
      </w:tr>
      <w:tr w:rsidR="00DC1944" w:rsidRPr="00154D00" w:rsidTr="00C45CCE">
        <w:tc>
          <w:tcPr>
            <w:tcW w:w="714" w:type="dxa"/>
            <w:shd w:val="clear" w:color="auto" w:fill="auto"/>
          </w:tcPr>
          <w:p w:rsidR="00DC1944" w:rsidRPr="00154D00" w:rsidRDefault="00DC1944" w:rsidP="00C45CCE">
            <w:pPr>
              <w:pStyle w:val="Tabletext"/>
            </w:pPr>
            <w:r w:rsidRPr="00154D00">
              <w:t>2.1</w:t>
            </w:r>
          </w:p>
        </w:tc>
        <w:tc>
          <w:tcPr>
            <w:tcW w:w="2116" w:type="dxa"/>
            <w:shd w:val="clear" w:color="auto" w:fill="auto"/>
          </w:tcPr>
          <w:p w:rsidR="00DC1944" w:rsidRPr="00154D00" w:rsidRDefault="00DC1944" w:rsidP="00C45CCE">
            <w:pPr>
              <w:pStyle w:val="Tabletext"/>
            </w:pPr>
            <w:r w:rsidRPr="00154D00">
              <w:t>What is to be done and why</w:t>
            </w:r>
          </w:p>
        </w:tc>
        <w:tc>
          <w:tcPr>
            <w:tcW w:w="6196" w:type="dxa"/>
            <w:shd w:val="clear" w:color="auto" w:fill="auto"/>
          </w:tcPr>
          <w:p w:rsidR="00DC1944" w:rsidRPr="00154D00" w:rsidRDefault="00DC1944" w:rsidP="00C45CCE">
            <w:pPr>
              <w:pStyle w:val="Tabletext"/>
            </w:pPr>
            <w:r w:rsidRPr="00154D00">
              <w:t>1. This is the core of any set of drafting instructions. Start with an explanation of the key policy objectives that are to be implemented, and why legislation is needed to implement them. If the Bill or instrument is to remedy a problem with the existing state of affairs, mention this and consider including one or more examples of the problem. As mentioned above, attach any relevant legal opinions, and attach other background papers if you think this will be helpful.</w:t>
            </w:r>
          </w:p>
          <w:p w:rsidR="00DC1944" w:rsidRPr="00154D00" w:rsidRDefault="00DC1944" w:rsidP="00C45CCE">
            <w:pPr>
              <w:pStyle w:val="Tabletext"/>
            </w:pPr>
            <w:r w:rsidRPr="00154D00">
              <w:t>2. Go on to give a complete and accurate description of how the Bill or instrument is to implement the objectives. It is not sufficient merely to paraphrase the wording of a Cabinet Minute or other policy authority.</w:t>
            </w:r>
          </w:p>
          <w:p w:rsidR="00DC1944" w:rsidRPr="00154D00" w:rsidRDefault="00DC1944" w:rsidP="00C45CCE">
            <w:pPr>
              <w:pStyle w:val="Tabletext"/>
            </w:pPr>
            <w:r w:rsidRPr="00154D00">
              <w:t>3. Express this in clear and simple language. Try to:</w:t>
            </w:r>
          </w:p>
          <w:p w:rsidR="00DC1944" w:rsidRPr="00154D00" w:rsidRDefault="00DC1944" w:rsidP="00C45CCE">
            <w:pPr>
              <w:pStyle w:val="Tablea"/>
            </w:pPr>
            <w:r w:rsidRPr="00154D00">
              <w:t>(a)</w:t>
            </w:r>
            <w:r w:rsidRPr="00154D00">
              <w:tab/>
              <w:t>avoid specialised terms or technical jargon if possible but, if specialised terms or technical language are necessary (because of the subject matter), include an explanation of their meaning; and</w:t>
            </w:r>
          </w:p>
          <w:p w:rsidR="00DC1944" w:rsidRPr="00154D00" w:rsidRDefault="00DC1944" w:rsidP="00C45CCE">
            <w:pPr>
              <w:pStyle w:val="Tablea"/>
            </w:pPr>
            <w:r w:rsidRPr="00154D00">
              <w:t>(b)</w:t>
            </w:r>
            <w:r w:rsidRPr="00154D00">
              <w:tab/>
              <w:t>be consistent: for one concept, use the same word or phrase throughout the instructions; and</w:t>
            </w:r>
          </w:p>
          <w:p w:rsidR="00DC1944" w:rsidRPr="00154D00" w:rsidRDefault="00DC1944" w:rsidP="00C45CCE">
            <w:pPr>
              <w:pStyle w:val="Tablea"/>
            </w:pPr>
            <w:r w:rsidRPr="00154D00">
              <w:t>(c)</w:t>
            </w:r>
            <w:r w:rsidRPr="00154D00">
              <w:tab/>
              <w:t>avoid unnecessary detail or complexity (generally, it is not necessary to try to identify and address all conceivable fact situations).</w:t>
            </w:r>
          </w:p>
          <w:p w:rsidR="00DC1944" w:rsidRPr="00154D00" w:rsidRDefault="00DC1944" w:rsidP="00C45CCE">
            <w:pPr>
              <w:pStyle w:val="Tabletext"/>
            </w:pPr>
            <w:r w:rsidRPr="00154D00">
              <w:t>4. Don’t attempt to provide the exact words to be used. Instructions proposing exact words don’t give the drafters the necessary information and context to help them understand why particular wording was chosen. It can also affect the amount of drafting time required to complete a project because the drafters will need to seek further instructions to understand the policy intention in order to ensure that it is being implemented effectively.</w:t>
            </w:r>
          </w:p>
        </w:tc>
      </w:tr>
      <w:tr w:rsidR="00DC1944" w:rsidRPr="00154D00" w:rsidTr="00C45CCE">
        <w:tc>
          <w:tcPr>
            <w:tcW w:w="714" w:type="dxa"/>
            <w:shd w:val="clear" w:color="auto" w:fill="auto"/>
          </w:tcPr>
          <w:p w:rsidR="00DC1944" w:rsidRPr="00154D00" w:rsidRDefault="00DC1944" w:rsidP="00C45CCE">
            <w:pPr>
              <w:pStyle w:val="Tabletext"/>
            </w:pPr>
            <w:r w:rsidRPr="00154D00">
              <w:t>2.2</w:t>
            </w:r>
          </w:p>
        </w:tc>
        <w:tc>
          <w:tcPr>
            <w:tcW w:w="2116" w:type="dxa"/>
            <w:shd w:val="clear" w:color="auto" w:fill="auto"/>
          </w:tcPr>
          <w:p w:rsidR="00DC1944" w:rsidRPr="00154D00" w:rsidRDefault="00DC1944" w:rsidP="00C45CCE">
            <w:pPr>
              <w:pStyle w:val="Tabletext"/>
            </w:pPr>
            <w:r w:rsidRPr="00154D00">
              <w:t>Complexity</w:t>
            </w:r>
          </w:p>
        </w:tc>
        <w:tc>
          <w:tcPr>
            <w:tcW w:w="6196" w:type="dxa"/>
            <w:shd w:val="clear" w:color="auto" w:fill="auto"/>
          </w:tcPr>
          <w:p w:rsidR="00DC1944" w:rsidRPr="00154D00" w:rsidRDefault="00DC1944" w:rsidP="00C45CCE">
            <w:pPr>
              <w:pStyle w:val="Tabletext"/>
            </w:pPr>
            <w:r w:rsidRPr="00154D00">
              <w:t xml:space="preserve">1. Consider whether any aspects of the proposed approach may add complexity, and whether there are any acceptable alternative approaches that would be less complex. The documents on the </w:t>
            </w:r>
            <w:hyperlink r:id="rId28" w:history="1">
              <w:r w:rsidRPr="00EF2146">
                <w:rPr>
                  <w:rStyle w:val="Hyperlink"/>
                  <w:u w:val="none"/>
                </w:rPr>
                <w:t>Clearer Law page of the OPC website</w:t>
              </w:r>
            </w:hyperlink>
            <w:r w:rsidRPr="00154D00">
              <w:t xml:space="preserve"> may help you with this. In analysing your instructions the drafters will look for areas that add complexity and will work with you to reduce complexity where possible.</w:t>
            </w:r>
          </w:p>
        </w:tc>
      </w:tr>
      <w:tr w:rsidR="00DC1944" w:rsidRPr="00154D00" w:rsidTr="00C45CCE">
        <w:tc>
          <w:tcPr>
            <w:tcW w:w="9026" w:type="dxa"/>
            <w:gridSpan w:val="3"/>
            <w:shd w:val="clear" w:color="auto" w:fill="auto"/>
          </w:tcPr>
          <w:p w:rsidR="00DC1944" w:rsidRPr="00154D00" w:rsidRDefault="00DC1944" w:rsidP="00C45CCE">
            <w:pPr>
              <w:pStyle w:val="Tabletext"/>
              <w:rPr>
                <w:b/>
                <w:sz w:val="24"/>
                <w:szCs w:val="24"/>
              </w:rPr>
            </w:pPr>
            <w:r w:rsidRPr="00154D00">
              <w:rPr>
                <w:b/>
                <w:sz w:val="24"/>
                <w:szCs w:val="24"/>
              </w:rPr>
              <w:t>3. The instructions: other specific matters</w:t>
            </w:r>
          </w:p>
        </w:tc>
      </w:tr>
      <w:tr w:rsidR="00DC1944" w:rsidRPr="00154D00" w:rsidTr="00C45CCE">
        <w:tc>
          <w:tcPr>
            <w:tcW w:w="714" w:type="dxa"/>
            <w:shd w:val="clear" w:color="auto" w:fill="auto"/>
          </w:tcPr>
          <w:p w:rsidR="00DC1944" w:rsidRPr="00154D00" w:rsidRDefault="00DC1944" w:rsidP="00C45CCE">
            <w:pPr>
              <w:pStyle w:val="Tabletext"/>
            </w:pPr>
            <w:r w:rsidRPr="00154D00">
              <w:t>3.1</w:t>
            </w:r>
          </w:p>
        </w:tc>
        <w:tc>
          <w:tcPr>
            <w:tcW w:w="2116" w:type="dxa"/>
            <w:shd w:val="clear" w:color="auto" w:fill="auto"/>
          </w:tcPr>
          <w:p w:rsidR="00DC1944" w:rsidRPr="00154D00" w:rsidRDefault="00DC1944" w:rsidP="00C45CCE">
            <w:pPr>
              <w:pStyle w:val="Tabletext"/>
            </w:pPr>
            <w:r w:rsidRPr="00154D00">
              <w:t>Commencement</w:t>
            </w:r>
          </w:p>
        </w:tc>
        <w:tc>
          <w:tcPr>
            <w:tcW w:w="6196" w:type="dxa"/>
            <w:shd w:val="clear" w:color="auto" w:fill="auto"/>
          </w:tcPr>
          <w:p w:rsidR="00DC1944" w:rsidRPr="00154D00" w:rsidRDefault="00DC1944" w:rsidP="00C45CCE">
            <w:pPr>
              <w:pStyle w:val="Tabletext"/>
            </w:pPr>
            <w:r w:rsidRPr="00154D00">
              <w:t>1. Give instructions on when the Bill or instrument should commence. Different measures in the same Bill or instrument can be given different commencements.</w:t>
            </w:r>
          </w:p>
          <w:p w:rsidR="00DC1944" w:rsidRPr="00154D00" w:rsidRDefault="00DC1944" w:rsidP="00C45CCE">
            <w:pPr>
              <w:pStyle w:val="Tabletext"/>
              <w:rPr>
                <w:i/>
              </w:rPr>
            </w:pPr>
            <w:r w:rsidRPr="00154D00">
              <w:rPr>
                <w:i/>
              </w:rPr>
              <w:t>Bills</w:t>
            </w:r>
          </w:p>
          <w:p w:rsidR="00DC1944" w:rsidRPr="00154D00" w:rsidRDefault="00DC1944" w:rsidP="00C45CCE">
            <w:pPr>
              <w:pStyle w:val="Tabletext"/>
            </w:pPr>
            <w:r w:rsidRPr="00154D00">
              <w:t>2. For Bills, the main options for commencement are:</w:t>
            </w:r>
          </w:p>
          <w:p w:rsidR="00DC1944" w:rsidRPr="00154D00" w:rsidRDefault="00DC1944" w:rsidP="00C45CCE">
            <w:pPr>
              <w:pStyle w:val="Tablea"/>
            </w:pPr>
            <w:r w:rsidRPr="00154D00">
              <w:t>(a)</w:t>
            </w:r>
            <w:r w:rsidRPr="00154D00">
              <w:tab/>
              <w:t>on the day of Royal Assent, the day after Royal Assent or the 28th day (or some other specified period) after Royal Assent; or</w:t>
            </w:r>
          </w:p>
          <w:p w:rsidR="00DC1944" w:rsidRPr="00154D00" w:rsidRDefault="00DC1944" w:rsidP="00C45CCE">
            <w:pPr>
              <w:pStyle w:val="Tablea"/>
            </w:pPr>
            <w:r w:rsidRPr="00154D00">
              <w:t>(b)</w:t>
            </w:r>
            <w:r w:rsidRPr="00154D00">
              <w:tab/>
              <w:t>on some other specified day; or</w:t>
            </w:r>
          </w:p>
          <w:p w:rsidR="00DC1944" w:rsidRPr="00154D00" w:rsidRDefault="00DC1944" w:rsidP="00C45CCE">
            <w:pPr>
              <w:pStyle w:val="Tablea"/>
            </w:pPr>
            <w:r w:rsidRPr="00154D00">
              <w:t>(c)</w:t>
            </w:r>
            <w:r w:rsidRPr="00154D00">
              <w:tab/>
              <w:t xml:space="preserve">on a day to be fixed by Proclamation (generally with a 6 month limit </w:t>
            </w:r>
            <w:r w:rsidRPr="00154D00">
              <w:lastRenderedPageBreak/>
              <w:t>on the power to proclaim); or</w:t>
            </w:r>
          </w:p>
          <w:p w:rsidR="00DC1944" w:rsidRPr="00154D00" w:rsidRDefault="00DC1944" w:rsidP="00C45CCE">
            <w:pPr>
              <w:pStyle w:val="Tablea"/>
            </w:pPr>
            <w:r w:rsidRPr="00154D00">
              <w:t>(d)</w:t>
            </w:r>
            <w:r w:rsidRPr="00154D00">
              <w:tab/>
              <w:t>on the commencement of a related piece of legislation; or</w:t>
            </w:r>
          </w:p>
          <w:p w:rsidR="00DC1944" w:rsidRPr="00154D00" w:rsidRDefault="00DC1944" w:rsidP="00C45CCE">
            <w:pPr>
              <w:pStyle w:val="Tablea"/>
            </w:pPr>
            <w:r w:rsidRPr="00154D00">
              <w:t>(e)</w:t>
            </w:r>
            <w:r w:rsidRPr="00154D00">
              <w:tab/>
              <w:t>on the happening of some other specified event (for example, when a treaty enters into force for Australia).</w:t>
            </w:r>
          </w:p>
          <w:p w:rsidR="00DC1944" w:rsidRPr="00154D00" w:rsidRDefault="00DC1944" w:rsidP="00C45CCE">
            <w:pPr>
              <w:pStyle w:val="Tabletext"/>
            </w:pPr>
            <w:r w:rsidRPr="00154D00">
              <w:t>3. There are risks in specifying a future day, and consideration should be given to whether some other option might be better (eg commencement by Proclamation). The main risk with specifying a day is that this may become problematic if passage through Parliament takes longer than envisaged and the specified day could end up being before Royal Assent to the Bill (resulting in retrospectivity). Parliamentary amendments may be needed to change the commencement provision in some way.</w:t>
            </w:r>
          </w:p>
          <w:p w:rsidR="00DC1944" w:rsidRPr="00154D00" w:rsidRDefault="00DC1944" w:rsidP="00C45CCE">
            <w:pPr>
              <w:pStyle w:val="Tabletext"/>
            </w:pPr>
            <w:r w:rsidRPr="00154D00">
              <w:t>4. Provisions that adversely affect rights or impose liabilities should not be given a retrospective commencement otherwise than in exceptional circumstances and with explicit policy authority.</w:t>
            </w:r>
          </w:p>
          <w:p w:rsidR="00DC1944" w:rsidRPr="00154D00" w:rsidRDefault="00DC1944" w:rsidP="00C45CCE">
            <w:pPr>
              <w:pStyle w:val="Tabletext"/>
            </w:pPr>
            <w:r w:rsidRPr="00154D00">
              <w:t xml:space="preserve">5. In considering what commencement should be specified, factor in time for the preparation and making of any associated instruments or appointments, and for dealing with practical matters (such as IT systems changes), that will be needed to ensure the effective operation of the scheme. Bear in mind that section 4 of the </w:t>
            </w:r>
            <w:r w:rsidRPr="00154D00">
              <w:rPr>
                <w:i/>
              </w:rPr>
              <w:t>Acts Interpretation Act 1901</w:t>
            </w:r>
            <w:r w:rsidRPr="00154D00">
              <w:t xml:space="preserve"> allows for the exercise of powers between the passing of an Act and its commencement. So (for example) if an Act is expressed to commence on a day to be fixed by Proclamation, powers to make instruments or appointments can be exercised as soon as the Act has received the Royal Assent, even though it has not yet commenced. The instruments or appointments will not take effect until the Act has actually commenced.</w:t>
            </w:r>
          </w:p>
          <w:p w:rsidR="00DC1944" w:rsidRPr="00154D00" w:rsidRDefault="00DC1944" w:rsidP="00C45CCE">
            <w:pPr>
              <w:pStyle w:val="Tabletext"/>
              <w:rPr>
                <w:i/>
              </w:rPr>
            </w:pPr>
            <w:r w:rsidRPr="00154D00">
              <w:rPr>
                <w:i/>
              </w:rPr>
              <w:t>Instruments</w:t>
            </w:r>
          </w:p>
          <w:p w:rsidR="00DC1944" w:rsidRPr="00154D00" w:rsidRDefault="00DC1944" w:rsidP="00C45CCE">
            <w:pPr>
              <w:pStyle w:val="Tabletext"/>
            </w:pPr>
            <w:r w:rsidRPr="00154D00">
              <w:t>6. For instruments, the main options for commencement are:</w:t>
            </w:r>
          </w:p>
          <w:p w:rsidR="00DC1944" w:rsidRPr="00154D00" w:rsidRDefault="00DC1944" w:rsidP="00C45CCE">
            <w:pPr>
              <w:pStyle w:val="Tablea"/>
            </w:pPr>
            <w:r w:rsidRPr="00154D00">
              <w:t>(a)</w:t>
            </w:r>
            <w:r w:rsidRPr="00154D00">
              <w:tab/>
              <w:t>on the day after the instrument is registered on the Federal Register of Legislation (if it is a legislative or notifiable instrument); or</w:t>
            </w:r>
          </w:p>
          <w:p w:rsidR="00DC1944" w:rsidRPr="00154D00" w:rsidRDefault="00DC1944" w:rsidP="00C45CCE">
            <w:pPr>
              <w:pStyle w:val="Tablea"/>
            </w:pPr>
            <w:r w:rsidRPr="00154D00">
              <w:t>(b)</w:t>
            </w:r>
            <w:r w:rsidRPr="00154D00">
              <w:tab/>
              <w:t>on some other specified day; or</w:t>
            </w:r>
          </w:p>
          <w:p w:rsidR="00DC1944" w:rsidRPr="00154D00" w:rsidRDefault="00DC1944" w:rsidP="00C45CCE">
            <w:pPr>
              <w:pStyle w:val="Tablea"/>
            </w:pPr>
            <w:r w:rsidRPr="00154D00">
              <w:t>(c)</w:t>
            </w:r>
            <w:r w:rsidRPr="00154D00">
              <w:tab/>
              <w:t>in accordance with a commencement notice or instrument; or</w:t>
            </w:r>
          </w:p>
          <w:p w:rsidR="00DC1944" w:rsidRPr="00154D00" w:rsidRDefault="00DC1944" w:rsidP="00C45CCE">
            <w:pPr>
              <w:pStyle w:val="Tablea"/>
            </w:pPr>
            <w:r w:rsidRPr="00154D00">
              <w:t>(d)</w:t>
            </w:r>
            <w:r w:rsidRPr="00154D00">
              <w:tab/>
              <w:t>on the commencement of a related piece of legislation; or</w:t>
            </w:r>
          </w:p>
          <w:p w:rsidR="00DC1944" w:rsidRPr="00154D00" w:rsidRDefault="00DC1944" w:rsidP="00C45CCE">
            <w:pPr>
              <w:pStyle w:val="Tablea"/>
            </w:pPr>
            <w:r w:rsidRPr="00154D00">
              <w:t>(e)</w:t>
            </w:r>
            <w:r w:rsidRPr="00154D00">
              <w:tab/>
              <w:t>on the happening of some other specified event (for example, when a treaty enters into force for Australia).</w:t>
            </w:r>
          </w:p>
          <w:p w:rsidR="00DC1944" w:rsidRPr="00154D00" w:rsidRDefault="00DC1944" w:rsidP="00C45CCE">
            <w:pPr>
              <w:pStyle w:val="Tabletext"/>
            </w:pPr>
            <w:r w:rsidRPr="00154D00">
              <w:t>7. As with Bills, factors such as time for preparation and making of any associated instruments and appointments, and for dealing with practical matters (such as IT systems changes) need to be considered when working out what commencement should be specified.</w:t>
            </w:r>
          </w:p>
          <w:p w:rsidR="00DC1944" w:rsidRPr="00154D00" w:rsidRDefault="00DC1944" w:rsidP="00C45CCE">
            <w:pPr>
              <w:pStyle w:val="Tabletext"/>
            </w:pPr>
            <w:r w:rsidRPr="00154D00">
              <w:t xml:space="preserve">8. A provision of a legislative or notifiable instrument may commence (or apply) before the day the instrument is registered under the </w:t>
            </w:r>
            <w:r w:rsidRPr="00154D00">
              <w:rPr>
                <w:i/>
              </w:rPr>
              <w:t>Legislation Act 2003</w:t>
            </w:r>
            <w:r w:rsidRPr="00154D00">
              <w:t>: see subsection 12(3) of that Act. However, such a provision does not apply in relation to a person (other than the Commonwealth or a Commonwealth authority) to the extent that as a result of the provision commencing before the day of registration, the person’s rights as at that day would be adversely affected, or liabilities would be imposed on the person in respect of anything done or omitted to be done before that day: see subsection 12(2) of that Act. The rules in subsections 12(2) and (3) may be overridden by the instrument’s enabling legislation, if the enabling legislation is an Act: see subsection 12(4) of that Act.</w:t>
            </w:r>
          </w:p>
        </w:tc>
      </w:tr>
      <w:tr w:rsidR="00DC1944" w:rsidRPr="00154D00" w:rsidTr="00C45CCE">
        <w:tc>
          <w:tcPr>
            <w:tcW w:w="714" w:type="dxa"/>
            <w:shd w:val="clear" w:color="auto" w:fill="auto"/>
          </w:tcPr>
          <w:p w:rsidR="00DC1944" w:rsidRPr="00154D00" w:rsidRDefault="00DC1944" w:rsidP="00C45CCE">
            <w:pPr>
              <w:pStyle w:val="Tabletext"/>
            </w:pPr>
            <w:r w:rsidRPr="00154D00">
              <w:lastRenderedPageBreak/>
              <w:t>3.2</w:t>
            </w:r>
          </w:p>
        </w:tc>
        <w:tc>
          <w:tcPr>
            <w:tcW w:w="2116" w:type="dxa"/>
            <w:shd w:val="clear" w:color="auto" w:fill="auto"/>
          </w:tcPr>
          <w:p w:rsidR="00DC1944" w:rsidRPr="00154D00" w:rsidRDefault="00DC1944" w:rsidP="00C45CCE">
            <w:pPr>
              <w:pStyle w:val="Tabletext"/>
            </w:pPr>
            <w:r w:rsidRPr="00154D00">
              <w:t>Binding the Crown</w:t>
            </w:r>
          </w:p>
        </w:tc>
        <w:tc>
          <w:tcPr>
            <w:tcW w:w="6196" w:type="dxa"/>
            <w:shd w:val="clear" w:color="auto" w:fill="auto"/>
          </w:tcPr>
          <w:p w:rsidR="00DC1944" w:rsidRPr="00154D00" w:rsidRDefault="00DC1944" w:rsidP="00C45CCE">
            <w:pPr>
              <w:pStyle w:val="Tabletext"/>
            </w:pPr>
            <w:r w:rsidRPr="00154D00">
              <w:t xml:space="preserve">1. Is the Bill or instrument to bind the Commonwealth, State and Territory governments? This is quite a technical issue and you can instead discuss it </w:t>
            </w:r>
            <w:r w:rsidRPr="00154D00">
              <w:lastRenderedPageBreak/>
              <w:t>with the drafters after providing the initial drafting instructions.</w:t>
            </w:r>
          </w:p>
        </w:tc>
      </w:tr>
      <w:tr w:rsidR="00DC1944" w:rsidRPr="00154D00" w:rsidTr="00C45CCE">
        <w:tc>
          <w:tcPr>
            <w:tcW w:w="714" w:type="dxa"/>
            <w:shd w:val="clear" w:color="auto" w:fill="auto"/>
          </w:tcPr>
          <w:p w:rsidR="00DC1944" w:rsidRPr="00154D00" w:rsidRDefault="00DC1944" w:rsidP="00C45CCE">
            <w:pPr>
              <w:pStyle w:val="Tabletext"/>
            </w:pPr>
            <w:r w:rsidRPr="00154D00">
              <w:lastRenderedPageBreak/>
              <w:t>3.3</w:t>
            </w:r>
          </w:p>
        </w:tc>
        <w:tc>
          <w:tcPr>
            <w:tcW w:w="2116" w:type="dxa"/>
            <w:shd w:val="clear" w:color="auto" w:fill="auto"/>
          </w:tcPr>
          <w:p w:rsidR="00DC1944" w:rsidRPr="00154D00" w:rsidRDefault="00DC1944" w:rsidP="00C45CCE">
            <w:pPr>
              <w:pStyle w:val="Tabletext"/>
            </w:pPr>
            <w:r w:rsidRPr="00154D00">
              <w:t>External Territories and outside Australia</w:t>
            </w:r>
          </w:p>
        </w:tc>
        <w:tc>
          <w:tcPr>
            <w:tcW w:w="6196" w:type="dxa"/>
            <w:shd w:val="clear" w:color="auto" w:fill="auto"/>
          </w:tcPr>
          <w:p w:rsidR="00DC1944" w:rsidRPr="00154D00" w:rsidRDefault="00DC1944" w:rsidP="00C45CCE">
            <w:pPr>
              <w:pStyle w:val="Tabletext"/>
            </w:pPr>
            <w:r w:rsidRPr="00154D00">
              <w:t>1. Is the Bill or instrument to apply in any of the external Territories?</w:t>
            </w:r>
          </w:p>
          <w:p w:rsidR="00DC1944" w:rsidRPr="00154D00" w:rsidRDefault="00DC1944" w:rsidP="00C45CCE">
            <w:pPr>
              <w:pStyle w:val="Tabletext"/>
            </w:pPr>
            <w:r w:rsidRPr="00154D00">
              <w:t>2. Is the Bill or instrument to have any application to persons, or matters occurring, outside Australia and the external Territories?</w:t>
            </w:r>
          </w:p>
          <w:p w:rsidR="00DC1944" w:rsidRPr="00154D00" w:rsidRDefault="00DC1944" w:rsidP="00C45CCE">
            <w:pPr>
              <w:pStyle w:val="Tabletext"/>
            </w:pPr>
            <w:r w:rsidRPr="00154D00">
              <w:t>3. These are quite technical issues and you can instead discuss them with the drafters after providing the initial drafting instructions.</w:t>
            </w:r>
          </w:p>
        </w:tc>
      </w:tr>
      <w:tr w:rsidR="00DC1944" w:rsidRPr="00154D00" w:rsidTr="00C45CCE">
        <w:tc>
          <w:tcPr>
            <w:tcW w:w="714" w:type="dxa"/>
            <w:shd w:val="clear" w:color="auto" w:fill="auto"/>
          </w:tcPr>
          <w:p w:rsidR="00DC1944" w:rsidRPr="00154D00" w:rsidRDefault="00DC1944" w:rsidP="00C45CCE">
            <w:pPr>
              <w:pStyle w:val="Tabletext"/>
            </w:pPr>
            <w:r w:rsidRPr="00154D00">
              <w:t>3.4</w:t>
            </w:r>
          </w:p>
        </w:tc>
        <w:tc>
          <w:tcPr>
            <w:tcW w:w="2116" w:type="dxa"/>
            <w:shd w:val="clear" w:color="auto" w:fill="auto"/>
          </w:tcPr>
          <w:p w:rsidR="00DC1944" w:rsidRPr="00154D00" w:rsidRDefault="00DC1944" w:rsidP="00C45CCE">
            <w:pPr>
              <w:pStyle w:val="Tabletext"/>
            </w:pPr>
            <w:r w:rsidRPr="00154D00">
              <w:t>Compliance with obligations</w:t>
            </w:r>
          </w:p>
        </w:tc>
        <w:tc>
          <w:tcPr>
            <w:tcW w:w="6196" w:type="dxa"/>
            <w:shd w:val="clear" w:color="auto" w:fill="auto"/>
          </w:tcPr>
          <w:p w:rsidR="00DC1944" w:rsidRPr="00154D00" w:rsidRDefault="00DC1944" w:rsidP="00C45CCE">
            <w:pPr>
              <w:pStyle w:val="Tabletext"/>
            </w:pPr>
            <w:r w:rsidRPr="00154D00">
              <w:t>1. If the Bill or instrument will impose obligations, what is the consequence of non</w:t>
            </w:r>
            <w:r w:rsidR="00E3060E">
              <w:noBreakHyphen/>
            </w:r>
            <w:r w:rsidRPr="00154D00">
              <w:t>compliance with those obligations to be? For example, is there to be a loss or denial of a benefit, or a criminal or civil penalty?</w:t>
            </w:r>
          </w:p>
          <w:p w:rsidR="00DC1944" w:rsidRPr="00154D00" w:rsidRDefault="00DC1944" w:rsidP="00C45CCE">
            <w:pPr>
              <w:pStyle w:val="Tabletext"/>
            </w:pPr>
            <w:r w:rsidRPr="00154D00">
              <w:t xml:space="preserve">2. Are monitoring and enforcement powers needed to check on compliance? If yes, consider whether it would be appropriate to link in to any aspects of the </w:t>
            </w:r>
            <w:r w:rsidRPr="00154D00">
              <w:rPr>
                <w:i/>
              </w:rPr>
              <w:t>Regulatory Powers (Standard Provisions) Act 2014</w:t>
            </w:r>
            <w:r w:rsidRPr="00154D00">
              <w:t>. For more information about that Act see</w:t>
            </w:r>
            <w:r w:rsidRPr="00EF2146">
              <w:rPr>
                <w:rStyle w:val="Hyperlink"/>
                <w:u w:val="none"/>
              </w:rPr>
              <w:t xml:space="preserve"> </w:t>
            </w:r>
            <w:hyperlink r:id="rId29" w:history="1">
              <w:r w:rsidRPr="00EF2146">
                <w:rPr>
                  <w:rStyle w:val="Hyperlink"/>
                  <w:u w:val="none"/>
                </w:rPr>
                <w:t>Drafting Direction 3.5A</w:t>
              </w:r>
            </w:hyperlink>
            <w:r w:rsidRPr="00154D00">
              <w:t>.</w:t>
            </w:r>
          </w:p>
          <w:p w:rsidR="00DC1944" w:rsidRPr="00154D00" w:rsidRDefault="00DC1944" w:rsidP="00C45CCE">
            <w:pPr>
              <w:pStyle w:val="Tabletext"/>
            </w:pPr>
            <w:r w:rsidRPr="00154D00">
              <w:t xml:space="preserve">3. There is also useful guidance on some of these matters in the AGD </w:t>
            </w:r>
            <w:hyperlink r:id="rId30" w:history="1">
              <w:r w:rsidRPr="00EF2146">
                <w:rPr>
                  <w:rStyle w:val="Hyperlink"/>
                  <w:u w:val="none"/>
                </w:rPr>
                <w:t>Guide to Framing Commonwealth Offences, Infringement Notices and Enforcement Powers</w:t>
              </w:r>
            </w:hyperlink>
            <w:r w:rsidRPr="00154D00">
              <w:t>.</w:t>
            </w:r>
          </w:p>
        </w:tc>
      </w:tr>
      <w:tr w:rsidR="00DC1944" w:rsidRPr="00154D00" w:rsidTr="00C45CCE">
        <w:tc>
          <w:tcPr>
            <w:tcW w:w="714" w:type="dxa"/>
            <w:shd w:val="clear" w:color="auto" w:fill="auto"/>
          </w:tcPr>
          <w:p w:rsidR="00DC1944" w:rsidRPr="00154D00" w:rsidRDefault="00DC1944" w:rsidP="00C45CCE">
            <w:pPr>
              <w:pStyle w:val="Tabletext"/>
            </w:pPr>
            <w:r w:rsidRPr="00154D00">
              <w:t>3.5</w:t>
            </w:r>
          </w:p>
        </w:tc>
        <w:tc>
          <w:tcPr>
            <w:tcW w:w="2116" w:type="dxa"/>
            <w:shd w:val="clear" w:color="auto" w:fill="auto"/>
          </w:tcPr>
          <w:p w:rsidR="00DC1944" w:rsidRPr="00154D00" w:rsidRDefault="00DC1944" w:rsidP="00C45CCE">
            <w:pPr>
              <w:pStyle w:val="Tabletext"/>
            </w:pPr>
            <w:r w:rsidRPr="00154D00">
              <w:t>Powers to make administrative decisions</w:t>
            </w:r>
          </w:p>
        </w:tc>
        <w:tc>
          <w:tcPr>
            <w:tcW w:w="6196" w:type="dxa"/>
            <w:shd w:val="clear" w:color="auto" w:fill="auto"/>
          </w:tcPr>
          <w:p w:rsidR="00DC1944" w:rsidRPr="00154D00" w:rsidRDefault="00DC1944" w:rsidP="00C45CCE">
            <w:pPr>
              <w:pStyle w:val="Tabletext"/>
            </w:pPr>
            <w:r w:rsidRPr="00154D00">
              <w:t>1. If the Bill or instrument will confer power to make decisions of an administrative character, the following issues need to be considered and addressed:</w:t>
            </w:r>
          </w:p>
          <w:p w:rsidR="00DC1944" w:rsidRPr="00154D00" w:rsidRDefault="00DC1944" w:rsidP="00C45CCE">
            <w:pPr>
              <w:pStyle w:val="Tablea"/>
            </w:pPr>
            <w:r w:rsidRPr="00154D00">
              <w:t>(a)</w:t>
            </w:r>
            <w:r w:rsidRPr="00154D00">
              <w:tab/>
              <w:t>Is the Bill or instrument to specify criteria governing the exercise of the power to make the decisions? If not, should provision be made for someone (eg the Minister, by legislative instrument) to determine principles for the exercise of the power? These questions are particularly relevant if the decisions are to be reviewable.</w:t>
            </w:r>
          </w:p>
          <w:p w:rsidR="00DC1944" w:rsidRPr="00154D00" w:rsidRDefault="00DC1944" w:rsidP="00C45CCE">
            <w:pPr>
              <w:pStyle w:val="Tablea"/>
            </w:pPr>
            <w:r w:rsidRPr="00154D00">
              <w:t>(b)</w:t>
            </w:r>
            <w:r w:rsidRPr="00154D00">
              <w:tab/>
              <w:t>Is there to be administrative or judicial review of the decisions? Judicial review as guaranteed by the Constitution cannot be excluded.</w:t>
            </w:r>
          </w:p>
          <w:p w:rsidR="00DC1944" w:rsidRPr="00154D00" w:rsidRDefault="00DC1944" w:rsidP="00C45CCE">
            <w:pPr>
              <w:pStyle w:val="Tabletext"/>
            </w:pPr>
            <w:r w:rsidRPr="00154D00">
              <w:t xml:space="preserve">2. There is useful guidance on these matters in the AGD </w:t>
            </w:r>
            <w:hyperlink r:id="rId31" w:history="1">
              <w:r w:rsidRPr="00EF2146">
                <w:rPr>
                  <w:rStyle w:val="Hyperlink"/>
                  <w:u w:val="none"/>
                </w:rPr>
                <w:t>Australian Administrative Law Policy Guide</w:t>
              </w:r>
            </w:hyperlink>
            <w:r w:rsidRPr="00154D00">
              <w:t>.</w:t>
            </w:r>
          </w:p>
        </w:tc>
      </w:tr>
      <w:tr w:rsidR="00DC1944" w:rsidRPr="00154D00" w:rsidTr="00C45CCE">
        <w:tc>
          <w:tcPr>
            <w:tcW w:w="714" w:type="dxa"/>
            <w:shd w:val="clear" w:color="auto" w:fill="auto"/>
          </w:tcPr>
          <w:p w:rsidR="00DC1944" w:rsidRPr="00154D00" w:rsidRDefault="00DC1944" w:rsidP="00C45CCE">
            <w:pPr>
              <w:pStyle w:val="Tabletext"/>
            </w:pPr>
            <w:r w:rsidRPr="00154D00">
              <w:t>3.6</w:t>
            </w:r>
          </w:p>
        </w:tc>
        <w:tc>
          <w:tcPr>
            <w:tcW w:w="2116" w:type="dxa"/>
            <w:shd w:val="clear" w:color="auto" w:fill="auto"/>
          </w:tcPr>
          <w:p w:rsidR="00DC1944" w:rsidRPr="00154D00" w:rsidRDefault="00DC1944" w:rsidP="00C45CCE">
            <w:pPr>
              <w:pStyle w:val="Tabletext"/>
            </w:pPr>
            <w:r w:rsidRPr="00154D00">
              <w:t>Powers to make instruments</w:t>
            </w:r>
          </w:p>
        </w:tc>
        <w:tc>
          <w:tcPr>
            <w:tcW w:w="6196" w:type="dxa"/>
            <w:shd w:val="clear" w:color="auto" w:fill="auto"/>
          </w:tcPr>
          <w:p w:rsidR="00DC1944" w:rsidRPr="00154D00" w:rsidRDefault="00DC1944" w:rsidP="00C45CCE">
            <w:pPr>
              <w:pStyle w:val="Tabletext"/>
            </w:pPr>
            <w:r w:rsidRPr="00154D00">
              <w:t xml:space="preserve">1. If the Bill or instrument on which you are instructing (the </w:t>
            </w:r>
            <w:r w:rsidRPr="00154D00">
              <w:rPr>
                <w:b/>
                <w:i/>
              </w:rPr>
              <w:t>primary Bill or instrument</w:t>
            </w:r>
            <w:r w:rsidRPr="00154D00">
              <w:t xml:space="preserve">) is to confer power to make an instrument (the </w:t>
            </w:r>
            <w:r w:rsidRPr="00154D00">
              <w:rPr>
                <w:b/>
                <w:i/>
              </w:rPr>
              <w:t>proposed subordinate instrument</w:t>
            </w:r>
            <w:r w:rsidRPr="00154D00">
              <w:t>), the following issues need to be considered:</w:t>
            </w:r>
          </w:p>
          <w:p w:rsidR="00DC1944" w:rsidRPr="00154D00" w:rsidRDefault="00DC1944" w:rsidP="00C45CCE">
            <w:pPr>
              <w:pStyle w:val="Tablea"/>
            </w:pPr>
            <w:r w:rsidRPr="00154D00">
              <w:t>(a)</w:t>
            </w:r>
            <w:r w:rsidRPr="00154D00">
              <w:tab/>
              <w:t xml:space="preserve">What is the scope of the power that is needed: what kinds of things or matters do you want the </w:t>
            </w:r>
            <w:r w:rsidR="009E0BE1" w:rsidRPr="009E0BE1">
              <w:t>proposed subordinate instrument</w:t>
            </w:r>
            <w:r w:rsidR="009E0BE1">
              <w:rPr>
                <w:b/>
                <w:i/>
              </w:rPr>
              <w:t xml:space="preserve"> </w:t>
            </w:r>
            <w:r w:rsidRPr="00154D00">
              <w:t>to be able to do or deal with?</w:t>
            </w:r>
          </w:p>
          <w:p w:rsidR="00DC1944" w:rsidRPr="00154D00" w:rsidRDefault="00DC1944" w:rsidP="00C45CCE">
            <w:pPr>
              <w:pStyle w:val="Tablea"/>
            </w:pPr>
            <w:r w:rsidRPr="00154D00">
              <w:t>(b)</w:t>
            </w:r>
            <w:r w:rsidRPr="00154D00">
              <w:tab/>
              <w:t xml:space="preserve">Is the </w:t>
            </w:r>
            <w:r w:rsidR="009E0BE1" w:rsidRPr="009E0BE1">
              <w:t>proposed subordinate instrument</w:t>
            </w:r>
            <w:r w:rsidR="009E0BE1">
              <w:t xml:space="preserve"> </w:t>
            </w:r>
            <w:r w:rsidRPr="00154D00">
              <w:t xml:space="preserve">to be a legislative or notifiable instrument for the purposes of the </w:t>
            </w:r>
            <w:r w:rsidRPr="00154D00">
              <w:rPr>
                <w:i/>
              </w:rPr>
              <w:t>Legislation Act 2003</w:t>
            </w:r>
            <w:r w:rsidRPr="00154D00">
              <w:t xml:space="preserve">, and, if it is to be a legislative instrument, are there to be any exemptions from that Act (for example, from the disallowance or sunsetting regimes in that Act)? The </w:t>
            </w:r>
            <w:r w:rsidR="004D3494" w:rsidRPr="000D07E9">
              <w:t>Courts, Tribunals and Administrative Law Branch</w:t>
            </w:r>
            <w:r w:rsidRPr="00154D00">
              <w:t xml:space="preserve"> of AGD can assist with this, and can advise on any relevant process requirements for exemptions.</w:t>
            </w:r>
          </w:p>
          <w:p w:rsidR="00DC1944" w:rsidRPr="00154D00" w:rsidRDefault="00DC1944" w:rsidP="00C45CCE">
            <w:pPr>
              <w:pStyle w:val="Tabletext"/>
            </w:pPr>
            <w:r w:rsidRPr="00154D00">
              <w:t xml:space="preserve">2. If you want the </w:t>
            </w:r>
            <w:r w:rsidR="009E0BE1" w:rsidRPr="009E0BE1">
              <w:t>proposed subordinate instrument</w:t>
            </w:r>
            <w:r w:rsidR="009E0BE1">
              <w:t xml:space="preserve"> </w:t>
            </w:r>
            <w:r w:rsidRPr="00154D00">
              <w:t>to be able to do any of the following, this should be specifically mentioned in the instructions for the primary Bill or instrument:</w:t>
            </w:r>
          </w:p>
          <w:p w:rsidR="00DC1944" w:rsidRPr="00154D00" w:rsidRDefault="00DC1944" w:rsidP="00C45CCE">
            <w:pPr>
              <w:pStyle w:val="Tablea"/>
            </w:pPr>
            <w:r w:rsidRPr="00154D00">
              <w:t>(a)</w:t>
            </w:r>
            <w:r w:rsidRPr="00154D00">
              <w:tab/>
              <w:t>create offences, civil penalties or other penalties;</w:t>
            </w:r>
          </w:p>
          <w:p w:rsidR="00DC1944" w:rsidRPr="00154D00" w:rsidRDefault="00DC1944" w:rsidP="00C45CCE">
            <w:pPr>
              <w:pStyle w:val="Tablea"/>
            </w:pPr>
            <w:r w:rsidRPr="00154D00">
              <w:t>(b)</w:t>
            </w:r>
            <w:r w:rsidRPr="00154D00">
              <w:tab/>
              <w:t>confer powers to arrest or detain people, or powers of entry, search or seizure;</w:t>
            </w:r>
          </w:p>
          <w:p w:rsidR="00DC1944" w:rsidRPr="00154D00" w:rsidRDefault="00DC1944" w:rsidP="00C45CCE">
            <w:pPr>
              <w:pStyle w:val="Tablea"/>
            </w:pPr>
            <w:r w:rsidRPr="00154D00">
              <w:t>(c)</w:t>
            </w:r>
            <w:r w:rsidRPr="00154D00">
              <w:tab/>
              <w:t>determine the tax base or rate of a tax (or an aspect of the tax base or rate);</w:t>
            </w:r>
          </w:p>
          <w:p w:rsidR="00DC1944" w:rsidRPr="00154D00" w:rsidRDefault="00DC1944" w:rsidP="00C45CCE">
            <w:pPr>
              <w:pStyle w:val="Tablea"/>
            </w:pPr>
            <w:r w:rsidRPr="00154D00">
              <w:lastRenderedPageBreak/>
              <w:t>(d)</w:t>
            </w:r>
            <w:r w:rsidRPr="00154D00">
              <w:tab/>
              <w:t>determine the amount of money to be appropriated by a standing appropriation;</w:t>
            </w:r>
          </w:p>
          <w:p w:rsidR="00DC1944" w:rsidRPr="00154D00" w:rsidRDefault="00DC1944" w:rsidP="00C45CCE">
            <w:pPr>
              <w:pStyle w:val="Tablea"/>
            </w:pPr>
            <w:r w:rsidRPr="00154D00">
              <w:t>(e)</w:t>
            </w:r>
            <w:r w:rsidRPr="00154D00">
              <w:tab/>
              <w:t>modify an Act;</w:t>
            </w:r>
          </w:p>
          <w:p w:rsidR="00DC1944" w:rsidRPr="00154D00" w:rsidRDefault="00DC1944" w:rsidP="00C45CCE">
            <w:pPr>
              <w:pStyle w:val="Tablea"/>
            </w:pPr>
            <w:r w:rsidRPr="00154D00">
              <w:t>(f)</w:t>
            </w:r>
            <w:r w:rsidRPr="00154D00">
              <w:tab/>
              <w:t>apply, adopt or incorporate material in some other instrument or document as in force from time to time (for example, to require compliance with an industry code or standard as in force from time to time);</w:t>
            </w:r>
          </w:p>
          <w:p w:rsidR="00DC1944" w:rsidRPr="00154D00" w:rsidRDefault="00DC1944" w:rsidP="00C45CCE">
            <w:pPr>
              <w:pStyle w:val="Tablea"/>
            </w:pPr>
            <w:r w:rsidRPr="00154D00">
              <w:t>(g)</w:t>
            </w:r>
            <w:r w:rsidRPr="00154D00">
              <w:tab/>
              <w:t>confer power on a person or body to deal with, or to delegate the power to deal with, matters (rather than the instrument itself directly dealing with those matters);</w:t>
            </w:r>
          </w:p>
          <w:p w:rsidR="00DC1944" w:rsidRPr="00154D00" w:rsidRDefault="00DC1944" w:rsidP="00C45CCE">
            <w:pPr>
              <w:pStyle w:val="Tablea"/>
            </w:pPr>
            <w:r w:rsidRPr="00154D00">
              <w:t>(h)</w:t>
            </w:r>
            <w:r w:rsidRPr="00154D00">
              <w:tab/>
              <w:t>confer judicial power;</w:t>
            </w:r>
          </w:p>
          <w:p w:rsidR="00DC1944" w:rsidRPr="00154D00" w:rsidRDefault="00DC1944" w:rsidP="00C45CCE">
            <w:pPr>
              <w:pStyle w:val="Tablea"/>
            </w:pPr>
            <w:r w:rsidRPr="00154D00">
              <w:t>(i)</w:t>
            </w:r>
            <w:r w:rsidRPr="00154D00">
              <w:tab/>
              <w:t>confer power to charge fees;</w:t>
            </w:r>
          </w:p>
          <w:p w:rsidR="00DC1944" w:rsidRPr="00154D00" w:rsidRDefault="00DC1944" w:rsidP="00C45CCE">
            <w:pPr>
              <w:pStyle w:val="Tablea"/>
            </w:pPr>
            <w:r w:rsidRPr="00154D00">
              <w:t>(j)</w:t>
            </w:r>
            <w:r w:rsidRPr="00154D00">
              <w:tab/>
              <w:t>commence or have effect from a day before the instrument is registered or notified (or before it is made).</w:t>
            </w:r>
          </w:p>
          <w:p w:rsidR="00DC1944" w:rsidRPr="00154D00" w:rsidRDefault="00DC1944" w:rsidP="00C45CCE">
            <w:pPr>
              <w:pStyle w:val="Tabletext"/>
            </w:pPr>
            <w:r w:rsidRPr="00154D00">
              <w:t xml:space="preserve">3. </w:t>
            </w:r>
            <w:hyperlink r:id="rId32" w:history="1">
              <w:r w:rsidRPr="00EF2146">
                <w:rPr>
                  <w:rStyle w:val="Hyperlink"/>
                  <w:u w:val="none"/>
                </w:rPr>
                <w:t>Drafting Direction 3.8</w:t>
              </w:r>
            </w:hyperlink>
            <w:r w:rsidRPr="00154D00">
              <w:t xml:space="preserve"> contains more information about OPC’s approach to drafting instrument making powers.</w:t>
            </w:r>
          </w:p>
          <w:p w:rsidR="00DC1944" w:rsidRPr="00154D00" w:rsidRDefault="00DC1944" w:rsidP="00C45CCE">
            <w:pPr>
              <w:pStyle w:val="Tabletext"/>
            </w:pPr>
            <w:r w:rsidRPr="00154D00">
              <w:t xml:space="preserve">4. The PM&amp;C </w:t>
            </w:r>
            <w:hyperlink r:id="rId33" w:history="1">
              <w:r w:rsidRPr="00EF2146">
                <w:rPr>
                  <w:rStyle w:val="Hyperlink"/>
                  <w:u w:val="none"/>
                </w:rPr>
                <w:t>Legislation Handbook</w:t>
              </w:r>
            </w:hyperlink>
            <w:r w:rsidRPr="00154D00">
              <w:t xml:space="preserve"> contains some useful guidance about when it is appropriate for a Bill to confer a power to deal with matters by making an instrument, and when matters should instead be dealt with in the Bill itself.</w:t>
            </w:r>
          </w:p>
          <w:p w:rsidR="00DC1944" w:rsidRPr="00154D00" w:rsidRDefault="00DC1944" w:rsidP="00A474EE">
            <w:pPr>
              <w:pStyle w:val="Tabletext"/>
            </w:pPr>
            <w:r w:rsidRPr="00154D00">
              <w:t xml:space="preserve">5. If you want an </w:t>
            </w:r>
            <w:r w:rsidRPr="00154D00">
              <w:rPr>
                <w:i/>
              </w:rPr>
              <w:t>instrument</w:t>
            </w:r>
            <w:r w:rsidRPr="00154D00">
              <w:t xml:space="preserve"> to confer power to make another instrument, this may raise the issue of subdelegation of legislative power (see paragraph </w:t>
            </w:r>
            <w:r w:rsidR="00B82DC7">
              <w:t>218</w:t>
            </w:r>
            <w:r w:rsidR="008A1133" w:rsidRPr="00154D00">
              <w:t xml:space="preserve"> of the </w:t>
            </w:r>
            <w:hyperlink r:id="rId34" w:history="1">
              <w:r w:rsidR="005D52E3" w:rsidRPr="00EF2146">
                <w:rPr>
                  <w:rStyle w:val="Hyperlink"/>
                  <w:u w:val="none"/>
                </w:rPr>
                <w:t>Client Guide</w:t>
              </w:r>
            </w:hyperlink>
            <w:r w:rsidRPr="00154D00">
              <w:t>).</w:t>
            </w:r>
          </w:p>
        </w:tc>
      </w:tr>
      <w:tr w:rsidR="00DC1944" w:rsidRPr="00154D00" w:rsidTr="00C45CCE">
        <w:tc>
          <w:tcPr>
            <w:tcW w:w="714" w:type="dxa"/>
            <w:shd w:val="clear" w:color="auto" w:fill="auto"/>
          </w:tcPr>
          <w:p w:rsidR="00DC1944" w:rsidRPr="00154D00" w:rsidRDefault="00DC1944" w:rsidP="00C45CCE">
            <w:pPr>
              <w:pStyle w:val="Tabletext"/>
            </w:pPr>
            <w:r w:rsidRPr="00154D00">
              <w:lastRenderedPageBreak/>
              <w:t>3.7</w:t>
            </w:r>
          </w:p>
        </w:tc>
        <w:tc>
          <w:tcPr>
            <w:tcW w:w="2116" w:type="dxa"/>
            <w:shd w:val="clear" w:color="auto" w:fill="auto"/>
          </w:tcPr>
          <w:p w:rsidR="00DC1944" w:rsidRPr="00154D00" w:rsidRDefault="00DC1944" w:rsidP="00C45CCE">
            <w:pPr>
              <w:pStyle w:val="Tabletext"/>
            </w:pPr>
            <w:r w:rsidRPr="00154D00">
              <w:t>Delegation</w:t>
            </w:r>
          </w:p>
        </w:tc>
        <w:tc>
          <w:tcPr>
            <w:tcW w:w="6196" w:type="dxa"/>
            <w:shd w:val="clear" w:color="auto" w:fill="auto"/>
          </w:tcPr>
          <w:p w:rsidR="00DC1944" w:rsidRPr="00154D00" w:rsidRDefault="00DC1944" w:rsidP="00C45CCE">
            <w:pPr>
              <w:pStyle w:val="Tabletext"/>
            </w:pPr>
            <w:r w:rsidRPr="00154D00">
              <w:t>1. If the Bill or instrument will confer powers on a person or body, should they be able to delegate any of those powers, and if so to whom? There may be some powers which are of such significance that they should not be able to be delegated at all (for example, the power of a Minister to make an important legislative instrument), and there may be other powers which should be able to be delegated only to sufficiently senior officials. Both the range of powers that may be delegated, and the class of persons to whom powers may be delegated, should be specified, and should be as limited as practicable. Allowing for delegation of all powers to any person is generally not appropriate.</w:t>
            </w:r>
          </w:p>
          <w:p w:rsidR="00DC1944" w:rsidRPr="00154D00" w:rsidRDefault="00DC1944" w:rsidP="00C45CCE">
            <w:pPr>
              <w:pStyle w:val="Tabletext"/>
            </w:pPr>
            <w:r w:rsidRPr="00154D00">
              <w:t>2. For instruments, there is an additional issue whether any proposed capacity to delegate powers conferred by the instrument is within the scope of the power under which the instrument is made (see item 3.6).</w:t>
            </w:r>
          </w:p>
        </w:tc>
      </w:tr>
      <w:tr w:rsidR="00DC1944" w:rsidRPr="00154D00" w:rsidTr="00C45CCE">
        <w:tc>
          <w:tcPr>
            <w:tcW w:w="714" w:type="dxa"/>
            <w:shd w:val="clear" w:color="auto" w:fill="auto"/>
          </w:tcPr>
          <w:p w:rsidR="00DC1944" w:rsidRPr="00154D00" w:rsidRDefault="00DC1944" w:rsidP="00C45CCE">
            <w:pPr>
              <w:pStyle w:val="Tabletext"/>
            </w:pPr>
            <w:r w:rsidRPr="00154D00">
              <w:t>3.8</w:t>
            </w:r>
          </w:p>
        </w:tc>
        <w:tc>
          <w:tcPr>
            <w:tcW w:w="2116" w:type="dxa"/>
            <w:shd w:val="clear" w:color="auto" w:fill="auto"/>
          </w:tcPr>
          <w:p w:rsidR="00DC1944" w:rsidRPr="00154D00" w:rsidRDefault="00DC1944" w:rsidP="00C45CCE">
            <w:pPr>
              <w:pStyle w:val="Tabletext"/>
            </w:pPr>
            <w:r w:rsidRPr="00154D00">
              <w:t>Appropriations, spending and contracting</w:t>
            </w:r>
          </w:p>
        </w:tc>
        <w:tc>
          <w:tcPr>
            <w:tcW w:w="6196" w:type="dxa"/>
            <w:shd w:val="clear" w:color="auto" w:fill="auto"/>
          </w:tcPr>
          <w:p w:rsidR="00DC1944" w:rsidRPr="00154D00" w:rsidRDefault="00DC1944" w:rsidP="00C45CCE">
            <w:pPr>
              <w:pStyle w:val="Tabletext"/>
            </w:pPr>
            <w:r w:rsidRPr="00154D00">
              <w:t>1. If the Bill or instrument will involve expenditure by the Commonwealth, is that expenditure to be budget</w:t>
            </w:r>
            <w:r w:rsidR="00E3060E">
              <w:noBreakHyphen/>
            </w:r>
            <w:r w:rsidRPr="00154D00">
              <w:t>funded, or is there to be a standing appropriation? The Department of Finance must be consulted about any proposed standing appropriations. Standing appropriations can only be included in Bills.</w:t>
            </w:r>
          </w:p>
          <w:p w:rsidR="00DC1944" w:rsidRPr="00154D00" w:rsidRDefault="00DC1944" w:rsidP="00C45CCE">
            <w:pPr>
              <w:pStyle w:val="Tabletext"/>
            </w:pPr>
            <w:r w:rsidRPr="00154D00">
              <w:t>2. Consideration may also need to be given to whether the Bill or instrument needs to specifically authorise spending and contracting.</w:t>
            </w:r>
          </w:p>
        </w:tc>
      </w:tr>
      <w:tr w:rsidR="00DC1944" w:rsidRPr="00154D00" w:rsidTr="00C45CCE">
        <w:tc>
          <w:tcPr>
            <w:tcW w:w="714" w:type="dxa"/>
            <w:shd w:val="clear" w:color="auto" w:fill="auto"/>
          </w:tcPr>
          <w:p w:rsidR="00DC1944" w:rsidRPr="00154D00" w:rsidRDefault="00DC1944" w:rsidP="00C45CCE">
            <w:pPr>
              <w:pStyle w:val="Tabletext"/>
            </w:pPr>
            <w:r w:rsidRPr="00154D00">
              <w:t>3.9</w:t>
            </w:r>
          </w:p>
        </w:tc>
        <w:tc>
          <w:tcPr>
            <w:tcW w:w="2116" w:type="dxa"/>
            <w:shd w:val="clear" w:color="auto" w:fill="auto"/>
          </w:tcPr>
          <w:p w:rsidR="00DC1944" w:rsidRPr="00154D00" w:rsidRDefault="00DC1944" w:rsidP="00C45CCE">
            <w:pPr>
              <w:pStyle w:val="Tabletext"/>
            </w:pPr>
            <w:r w:rsidRPr="00154D00">
              <w:t>Consequential amendments</w:t>
            </w:r>
          </w:p>
        </w:tc>
        <w:tc>
          <w:tcPr>
            <w:tcW w:w="6196" w:type="dxa"/>
            <w:shd w:val="clear" w:color="auto" w:fill="auto"/>
          </w:tcPr>
          <w:p w:rsidR="00DC1944" w:rsidRPr="00154D00" w:rsidRDefault="00DC1944" w:rsidP="00C45CCE">
            <w:pPr>
              <w:pStyle w:val="Tabletext"/>
            </w:pPr>
            <w:r w:rsidRPr="00154D00">
              <w:t>1. Consider whether consequential amendments of any existing legislation will be needed (this may include legislation administered by another agency). The instructing agency is generally responsible for identifying any necessary consequential amendments and instructing on them. The drafters don’t expect to receive detailed instructions on all matters (such as updating cross</w:t>
            </w:r>
            <w:r w:rsidR="00E3060E">
              <w:noBreakHyphen/>
            </w:r>
            <w:r w:rsidRPr="00154D00">
              <w:t>references) if the consequential amendments that are needed are obvious, but it is still useful if the instructions at least identify all the provisions that will need to be amended.</w:t>
            </w:r>
          </w:p>
          <w:p w:rsidR="00DC1944" w:rsidRPr="00154D00" w:rsidRDefault="00DC1944" w:rsidP="00C45CCE">
            <w:pPr>
              <w:pStyle w:val="Tabletext"/>
            </w:pPr>
            <w:r w:rsidRPr="00154D00">
              <w:lastRenderedPageBreak/>
              <w:t>2. Consequential amendments may range from purely technical changes, to substantial changes required by introducing new concepts or abandoning old ones.</w:t>
            </w:r>
          </w:p>
          <w:p w:rsidR="00DC1944" w:rsidRPr="00154D00" w:rsidRDefault="00DC1944" w:rsidP="00C45CCE">
            <w:pPr>
              <w:pStyle w:val="Tabletext"/>
            </w:pPr>
            <w:r w:rsidRPr="00154D00">
              <w:t xml:space="preserve">3. Searches of </w:t>
            </w:r>
            <w:hyperlink r:id="rId35" w:history="1">
              <w:r w:rsidR="003330F7" w:rsidRPr="00EF2146">
                <w:rPr>
                  <w:rStyle w:val="Hyperlink"/>
                  <w:u w:val="none"/>
                </w:rPr>
                <w:t>the Federal Register of Legislation</w:t>
              </w:r>
            </w:hyperlink>
            <w:r w:rsidRPr="00154D00">
              <w:t xml:space="preserve"> or other electronic databases are a useful, but not infallible, way to find the provisions that need consequential amendments. A thorough search is also useful because it may reveal problems that need to be taken into account when working out the strategy for implementing the policy.</w:t>
            </w:r>
          </w:p>
          <w:p w:rsidR="00DC1944" w:rsidRPr="00154D00" w:rsidRDefault="00DC1944" w:rsidP="00C45CCE">
            <w:pPr>
              <w:pStyle w:val="Tabletext"/>
            </w:pPr>
            <w:r w:rsidRPr="00154D00">
              <w:t>4. In some cases, OPC may be able to help with, or advise on, electronic searches. But the instructing agency should not rely on drafters to do searches that should be able to be done by the agency. The drafters will conduct any necessary searches of OPC’s own databases to check the contents of Bills and instruments that are still being drafted.</w:t>
            </w:r>
          </w:p>
        </w:tc>
      </w:tr>
      <w:tr w:rsidR="00DC1944" w:rsidRPr="00154D00" w:rsidTr="00C45CCE">
        <w:tc>
          <w:tcPr>
            <w:tcW w:w="714" w:type="dxa"/>
            <w:shd w:val="clear" w:color="auto" w:fill="auto"/>
          </w:tcPr>
          <w:p w:rsidR="00DC1944" w:rsidRPr="00154D00" w:rsidRDefault="00DC1944" w:rsidP="00C45CCE">
            <w:pPr>
              <w:pStyle w:val="Tabletext"/>
            </w:pPr>
            <w:r w:rsidRPr="00154D00">
              <w:lastRenderedPageBreak/>
              <w:t>3.10</w:t>
            </w:r>
          </w:p>
        </w:tc>
        <w:tc>
          <w:tcPr>
            <w:tcW w:w="2116" w:type="dxa"/>
            <w:shd w:val="clear" w:color="auto" w:fill="auto"/>
          </w:tcPr>
          <w:p w:rsidR="00DC1944" w:rsidRPr="00154D00" w:rsidRDefault="00DC1944" w:rsidP="00C45CCE">
            <w:pPr>
              <w:pStyle w:val="Tabletext"/>
            </w:pPr>
            <w:r w:rsidRPr="00154D00">
              <w:t>Transitional provisions</w:t>
            </w:r>
          </w:p>
        </w:tc>
        <w:tc>
          <w:tcPr>
            <w:tcW w:w="6196" w:type="dxa"/>
            <w:shd w:val="clear" w:color="auto" w:fill="auto"/>
          </w:tcPr>
          <w:p w:rsidR="00DC1944" w:rsidRPr="00154D00" w:rsidRDefault="00DC1944" w:rsidP="00C45CCE">
            <w:pPr>
              <w:pStyle w:val="Tabletext"/>
            </w:pPr>
            <w:r w:rsidRPr="00154D00">
              <w:t>1. Consider how the transition from the current law to the regime to be provided for by the Bill or instrument should be handled. Will any provisions be needed to ensure that the transition occurs in the way you want? Issues to consider include:</w:t>
            </w:r>
          </w:p>
          <w:p w:rsidR="00DC1944" w:rsidRPr="00154D00" w:rsidRDefault="00DC1944" w:rsidP="00C45CCE">
            <w:pPr>
              <w:pStyle w:val="Tablea"/>
            </w:pPr>
            <w:r w:rsidRPr="00154D00">
              <w:t>(a)</w:t>
            </w:r>
            <w:r w:rsidRPr="00154D00">
              <w:tab/>
              <w:t>Is a special legislative regime needed to transition certain people or situations from the current law to the new law? For example, do things done under the current law need to be “plugged in” to the new law?</w:t>
            </w:r>
          </w:p>
          <w:p w:rsidR="00DC1944" w:rsidRPr="00154D00" w:rsidRDefault="00DC1944" w:rsidP="00C45CCE">
            <w:pPr>
              <w:pStyle w:val="Tablea"/>
            </w:pPr>
            <w:r w:rsidRPr="00154D00">
              <w:t>(b)</w:t>
            </w:r>
            <w:r w:rsidRPr="00154D00">
              <w:tab/>
              <w:t>Should the current law continue to apply to certain people or situations?</w:t>
            </w:r>
          </w:p>
          <w:p w:rsidR="00DC1944" w:rsidRPr="00154D00" w:rsidRDefault="00DC1944" w:rsidP="00C45CCE">
            <w:pPr>
              <w:pStyle w:val="Tablea"/>
            </w:pPr>
            <w:r w:rsidRPr="00154D00">
              <w:t>(c)</w:t>
            </w:r>
            <w:r w:rsidRPr="00154D00">
              <w:tab/>
              <w:t>Should the new law apply only to certain people or situations?</w:t>
            </w:r>
          </w:p>
          <w:p w:rsidR="00DC1944" w:rsidRPr="00154D00" w:rsidRDefault="00DC1944" w:rsidP="00C45CCE">
            <w:pPr>
              <w:pStyle w:val="Tabletext"/>
            </w:pPr>
            <w:r w:rsidRPr="00154D00">
              <w:t>2. Provisions dealing with these kinds of matters are known as transitional provisions (sometimes also classified as saving or application provisions). Resolving transitional issues involves making policy decisions and is part of the instructing agency’s role. These matters should be formally instructed on (either in the initial drafting instructions, or in supplementary instructions provided later). The drafters will often help identify the issues and suggest possible solutions to them.</w:t>
            </w:r>
          </w:p>
        </w:tc>
      </w:tr>
      <w:tr w:rsidR="00DC1944" w:rsidRPr="00154D00" w:rsidTr="00C45CCE">
        <w:tc>
          <w:tcPr>
            <w:tcW w:w="9026" w:type="dxa"/>
            <w:gridSpan w:val="3"/>
            <w:shd w:val="clear" w:color="auto" w:fill="auto"/>
          </w:tcPr>
          <w:p w:rsidR="00DC1944" w:rsidRPr="00154D00" w:rsidRDefault="00DC1944" w:rsidP="00C45CCE">
            <w:pPr>
              <w:pStyle w:val="Tabletext"/>
              <w:rPr>
                <w:b/>
                <w:sz w:val="24"/>
                <w:szCs w:val="24"/>
              </w:rPr>
            </w:pPr>
            <w:r w:rsidRPr="00154D00">
              <w:rPr>
                <w:b/>
                <w:sz w:val="24"/>
                <w:szCs w:val="24"/>
              </w:rPr>
              <w:t xml:space="preserve">4. </w:t>
            </w:r>
            <w:r w:rsidRPr="00154D00">
              <w:t xml:space="preserve"> </w:t>
            </w:r>
            <w:r w:rsidRPr="00154D00">
              <w:rPr>
                <w:b/>
                <w:sz w:val="24"/>
                <w:szCs w:val="24"/>
              </w:rPr>
              <w:t>Amending Bills or instruments: additional matters</w:t>
            </w:r>
          </w:p>
        </w:tc>
      </w:tr>
      <w:tr w:rsidR="00DC1944" w:rsidRPr="00154D00" w:rsidTr="00C45CCE">
        <w:tc>
          <w:tcPr>
            <w:tcW w:w="714" w:type="dxa"/>
            <w:shd w:val="clear" w:color="auto" w:fill="auto"/>
          </w:tcPr>
          <w:p w:rsidR="00DC1944" w:rsidRPr="00154D00" w:rsidRDefault="00DC1944" w:rsidP="00C45CCE">
            <w:pPr>
              <w:pStyle w:val="Tabletext"/>
            </w:pPr>
            <w:r w:rsidRPr="00154D00">
              <w:t>4.1</w:t>
            </w:r>
          </w:p>
        </w:tc>
        <w:tc>
          <w:tcPr>
            <w:tcW w:w="2116" w:type="dxa"/>
            <w:shd w:val="clear" w:color="auto" w:fill="auto"/>
          </w:tcPr>
          <w:p w:rsidR="00DC1944" w:rsidRPr="00154D00" w:rsidRDefault="00DC1944" w:rsidP="00C45CCE">
            <w:pPr>
              <w:pStyle w:val="Tabletext"/>
            </w:pPr>
            <w:r w:rsidRPr="00154D00">
              <w:t>Identify provisions to be amended</w:t>
            </w:r>
          </w:p>
        </w:tc>
        <w:tc>
          <w:tcPr>
            <w:tcW w:w="6196" w:type="dxa"/>
            <w:shd w:val="clear" w:color="auto" w:fill="auto"/>
          </w:tcPr>
          <w:p w:rsidR="00DC1944" w:rsidRPr="00154D00" w:rsidRDefault="00DC1944" w:rsidP="00C45CCE">
            <w:pPr>
              <w:pStyle w:val="Tabletext"/>
            </w:pPr>
            <w:r w:rsidRPr="00154D00">
              <w:t>1. Identify the provisions of the Acts or instruments that are to be amended. You should provide instructions for each amendment, but don’t attempt to provide the exact wording of any amendment. If amendments of both Acts and instruments are needed, separate sets of instructions should be provided (one set for the amendments of Acts, and a separate set for the amendments of instruments).</w:t>
            </w:r>
          </w:p>
        </w:tc>
      </w:tr>
      <w:tr w:rsidR="00DC1944" w:rsidRPr="00154D00" w:rsidTr="00C45CCE">
        <w:tc>
          <w:tcPr>
            <w:tcW w:w="714" w:type="dxa"/>
            <w:shd w:val="clear" w:color="auto" w:fill="auto"/>
          </w:tcPr>
          <w:p w:rsidR="00DC1944" w:rsidRPr="00154D00" w:rsidRDefault="00DC1944" w:rsidP="00C45CCE">
            <w:pPr>
              <w:pStyle w:val="Tabletext"/>
            </w:pPr>
            <w:r w:rsidRPr="00154D00">
              <w:t>4.2</w:t>
            </w:r>
          </w:p>
        </w:tc>
        <w:tc>
          <w:tcPr>
            <w:tcW w:w="2116" w:type="dxa"/>
            <w:shd w:val="clear" w:color="auto" w:fill="auto"/>
          </w:tcPr>
          <w:p w:rsidR="00DC1944" w:rsidRPr="00154D00" w:rsidRDefault="00DC1944" w:rsidP="00C45CCE">
            <w:pPr>
              <w:pStyle w:val="Tabletext"/>
            </w:pPr>
            <w:r w:rsidRPr="00154D00">
              <w:t>Bills and instruments that implement several separate policy proposals</w:t>
            </w:r>
          </w:p>
        </w:tc>
        <w:tc>
          <w:tcPr>
            <w:tcW w:w="6196" w:type="dxa"/>
            <w:shd w:val="clear" w:color="auto" w:fill="auto"/>
          </w:tcPr>
          <w:p w:rsidR="00DC1944" w:rsidRPr="00154D00" w:rsidRDefault="00DC1944" w:rsidP="00C45CCE">
            <w:pPr>
              <w:pStyle w:val="Tabletext"/>
            </w:pPr>
            <w:r w:rsidRPr="00154D00">
              <w:t>1. If the Bill or instrument will implement several separate policy proposals, the matters in this checklist should be separately addressed in relation to each of those proposals. Number the proposals and use those numbers to identify the instructions on each proposal.</w:t>
            </w:r>
          </w:p>
        </w:tc>
      </w:tr>
      <w:tr w:rsidR="00DC1944" w:rsidRPr="00154D00" w:rsidTr="00C45CCE">
        <w:tc>
          <w:tcPr>
            <w:tcW w:w="714" w:type="dxa"/>
            <w:tcBorders>
              <w:bottom w:val="single" w:sz="12" w:space="0" w:color="auto"/>
            </w:tcBorders>
            <w:shd w:val="clear" w:color="auto" w:fill="auto"/>
          </w:tcPr>
          <w:p w:rsidR="00DC1944" w:rsidRPr="00154D00" w:rsidRDefault="00DC1944" w:rsidP="00C45CCE">
            <w:pPr>
              <w:pStyle w:val="Tabletext"/>
            </w:pPr>
            <w:r w:rsidRPr="00154D00">
              <w:t>4.3</w:t>
            </w:r>
          </w:p>
        </w:tc>
        <w:tc>
          <w:tcPr>
            <w:tcW w:w="2116" w:type="dxa"/>
            <w:tcBorders>
              <w:bottom w:val="single" w:sz="12" w:space="0" w:color="auto"/>
            </w:tcBorders>
            <w:shd w:val="clear" w:color="auto" w:fill="auto"/>
          </w:tcPr>
          <w:p w:rsidR="00DC1944" w:rsidRPr="00154D00" w:rsidRDefault="00DC1944" w:rsidP="00C45CCE">
            <w:pPr>
              <w:pStyle w:val="Tabletext"/>
            </w:pPr>
            <w:r w:rsidRPr="00154D00">
              <w:t>Amending legislation administered by another agency</w:t>
            </w:r>
          </w:p>
        </w:tc>
        <w:tc>
          <w:tcPr>
            <w:tcW w:w="6196" w:type="dxa"/>
            <w:tcBorders>
              <w:bottom w:val="single" w:sz="12" w:space="0" w:color="auto"/>
            </w:tcBorders>
            <w:shd w:val="clear" w:color="auto" w:fill="auto"/>
          </w:tcPr>
          <w:p w:rsidR="00DC1944" w:rsidRPr="00154D00" w:rsidRDefault="00DC1944" w:rsidP="00C45CCE">
            <w:pPr>
              <w:pStyle w:val="Tabletext"/>
            </w:pPr>
            <w:r w:rsidRPr="00154D00">
              <w:t>1. Mention if any legislation administered by another agency will need to be amended. If amendments of another agency’s legislation are needed, you need to consult and seek agreement from that agency on the instructions for those amendments.</w:t>
            </w:r>
          </w:p>
        </w:tc>
      </w:tr>
    </w:tbl>
    <w:p w:rsidR="00040204" w:rsidRDefault="00040204" w:rsidP="00040204">
      <w:pPr>
        <w:pStyle w:val="Tabletext"/>
      </w:pPr>
    </w:p>
    <w:p w:rsidR="00040204" w:rsidRDefault="00040204" w:rsidP="00040204">
      <w:pPr>
        <w:pStyle w:val="Tabletext"/>
        <w:sectPr w:rsidR="00040204" w:rsidSect="00714D90">
          <w:footerReference w:type="even" r:id="rId36"/>
          <w:footerReference w:type="default" r:id="rId37"/>
          <w:pgSz w:w="11907" w:h="16839" w:code="9"/>
          <w:pgMar w:top="1440" w:right="1440" w:bottom="1418" w:left="1440" w:header="720" w:footer="720" w:gutter="0"/>
          <w:pgNumType w:start="1"/>
          <w:cols w:sep="1" w:space="567"/>
          <w:docGrid w:linePitch="360"/>
        </w:sectPr>
      </w:pPr>
    </w:p>
    <w:p w:rsidR="001D3618" w:rsidRPr="00154D00" w:rsidRDefault="001D3618" w:rsidP="00040204">
      <w:pPr>
        <w:pStyle w:val="Tabletext"/>
      </w:pPr>
    </w:p>
    <w:sectPr w:rsidR="001D3618" w:rsidRPr="00154D00" w:rsidSect="00040204">
      <w:footerReference w:type="even" r:id="rId38"/>
      <w:footerReference w:type="default" r:id="rId39"/>
      <w:type w:val="continuous"/>
      <w:pgSz w:w="11907" w:h="16839" w:code="9"/>
      <w:pgMar w:top="1440" w:right="1440" w:bottom="1418" w:left="1440" w:header="720" w:footer="720" w:gutter="0"/>
      <w:cols w:sep="1"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CCE" w:rsidRDefault="00C45CCE" w:rsidP="008E17F3">
      <w:pPr>
        <w:spacing w:line="240" w:lineRule="auto"/>
      </w:pPr>
      <w:r>
        <w:separator/>
      </w:r>
    </w:p>
  </w:endnote>
  <w:endnote w:type="continuationSeparator" w:id="0">
    <w:p w:rsidR="00C45CCE" w:rsidRDefault="00C45CCE"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CE" w:rsidRPr="00E33C1C" w:rsidRDefault="00C45CCE" w:rsidP="00C45CCE">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C45CCE" w:rsidRPr="00550D22" w:rsidTr="00C45CCE">
      <w:tc>
        <w:tcPr>
          <w:tcW w:w="1384" w:type="dxa"/>
          <w:tcBorders>
            <w:top w:val="nil"/>
            <w:left w:val="nil"/>
            <w:bottom w:val="nil"/>
            <w:right w:val="nil"/>
          </w:tcBorders>
          <w:shd w:val="clear" w:color="auto" w:fill="auto"/>
        </w:tcPr>
        <w:p w:rsidR="00C45CCE" w:rsidRPr="00550D22" w:rsidRDefault="00C45CCE" w:rsidP="00C45CCE">
          <w:pPr>
            <w:spacing w:line="0" w:lineRule="atLeast"/>
            <w:rPr>
              <w:sz w:val="18"/>
            </w:rPr>
          </w:pPr>
        </w:p>
      </w:tc>
      <w:tc>
        <w:tcPr>
          <w:tcW w:w="6379" w:type="dxa"/>
          <w:tcBorders>
            <w:top w:val="nil"/>
            <w:left w:val="nil"/>
            <w:bottom w:val="nil"/>
            <w:right w:val="nil"/>
          </w:tcBorders>
          <w:shd w:val="clear" w:color="auto" w:fill="auto"/>
        </w:tcPr>
        <w:p w:rsidR="00C45CCE" w:rsidRPr="006F3492" w:rsidRDefault="00C45CCE" w:rsidP="00C45CCE">
          <w:pPr>
            <w:ind w:right="27"/>
            <w:jc w:val="center"/>
            <w:rPr>
              <w:i/>
              <w:sz w:val="18"/>
            </w:rPr>
          </w:pPr>
          <w:r>
            <w:rPr>
              <w:i/>
              <w:sz w:val="18"/>
            </w:rPr>
            <w:fldChar w:fldCharType="begin"/>
          </w:r>
          <w:r>
            <w:rPr>
              <w:i/>
              <w:sz w:val="18"/>
            </w:rPr>
            <w:instrText xml:space="preserve"> DOCPROPERTY  Subject </w:instrText>
          </w:r>
          <w:r>
            <w:rPr>
              <w:i/>
              <w:sz w:val="18"/>
            </w:rPr>
            <w:fldChar w:fldCharType="separate"/>
          </w:r>
          <w:r w:rsidR="00477DF3">
            <w:rPr>
              <w:i/>
              <w:sz w:val="18"/>
            </w:rPr>
            <w:t>Giving written drafting instructions to OPC 2.1</w:t>
          </w:r>
          <w:r>
            <w:rPr>
              <w:i/>
              <w:sz w:val="18"/>
            </w:rPr>
            <w:fldChar w:fldCharType="end"/>
          </w:r>
        </w:p>
      </w:tc>
      <w:tc>
        <w:tcPr>
          <w:tcW w:w="1417" w:type="dxa"/>
          <w:tcBorders>
            <w:top w:val="nil"/>
            <w:left w:val="nil"/>
            <w:bottom w:val="nil"/>
            <w:right w:val="nil"/>
          </w:tcBorders>
          <w:shd w:val="clear" w:color="auto" w:fill="auto"/>
        </w:tcPr>
        <w:p w:rsidR="00C45CCE" w:rsidRPr="00491DA1" w:rsidRDefault="00C45CCE" w:rsidP="00C45CCE">
          <w:pPr>
            <w:spacing w:line="0" w:lineRule="atLeast"/>
            <w:jc w:val="right"/>
            <w:rPr>
              <w:i/>
              <w:sz w:val="18"/>
            </w:rPr>
          </w:pPr>
          <w:r w:rsidRPr="00491DA1">
            <w:rPr>
              <w:i/>
              <w:sz w:val="18"/>
            </w:rPr>
            <w:fldChar w:fldCharType="begin"/>
          </w:r>
          <w:r w:rsidRPr="00491DA1">
            <w:rPr>
              <w:i/>
              <w:sz w:val="18"/>
            </w:rPr>
            <w:instrText xml:space="preserve"> PAGE   \* MERGEFORMAT </w:instrText>
          </w:r>
          <w:r w:rsidRPr="00491DA1">
            <w:rPr>
              <w:i/>
              <w:sz w:val="18"/>
            </w:rPr>
            <w:fldChar w:fldCharType="separate"/>
          </w:r>
          <w:r w:rsidR="00477DF3">
            <w:rPr>
              <w:i/>
              <w:noProof/>
              <w:sz w:val="18"/>
            </w:rPr>
            <w:t>iii</w:t>
          </w:r>
          <w:r w:rsidRPr="00491DA1">
            <w:rPr>
              <w:i/>
              <w:noProof/>
              <w:sz w:val="18"/>
            </w:rPr>
            <w:fldChar w:fldCharType="end"/>
          </w:r>
        </w:p>
      </w:tc>
    </w:tr>
    <w:tr w:rsidR="00C45CCE" w:rsidRPr="00550D22" w:rsidTr="00C45C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C45CCE" w:rsidRPr="00550D22" w:rsidRDefault="00C45CCE" w:rsidP="00C45CCE">
          <w:pPr>
            <w:rPr>
              <w:sz w:val="18"/>
            </w:rPr>
          </w:pPr>
        </w:p>
      </w:tc>
    </w:tr>
  </w:tbl>
  <w:p w:rsidR="00C45CCE" w:rsidRDefault="00C45CCE" w:rsidP="00C45C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38" w:rsidRDefault="00594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38" w:rsidRDefault="00594A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18" w:rsidRPr="00E33C1C" w:rsidRDefault="001D3618"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1D3618" w:rsidRPr="00550D22" w:rsidTr="00746A03">
      <w:tc>
        <w:tcPr>
          <w:tcW w:w="1384" w:type="dxa"/>
          <w:tcBorders>
            <w:top w:val="nil"/>
            <w:left w:val="nil"/>
            <w:bottom w:val="nil"/>
            <w:right w:val="nil"/>
          </w:tcBorders>
          <w:shd w:val="clear" w:color="auto" w:fill="auto"/>
        </w:tcPr>
        <w:p w:rsidR="001D3618" w:rsidRPr="00AF024F" w:rsidRDefault="001D3618" w:rsidP="00746A03">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sidR="00477DF3">
            <w:rPr>
              <w:i/>
              <w:noProof/>
              <w:sz w:val="18"/>
            </w:rPr>
            <w:t>iii</w:t>
          </w:r>
          <w:r w:rsidRPr="00AF024F">
            <w:rPr>
              <w:i/>
              <w:sz w:val="18"/>
            </w:rPr>
            <w:fldChar w:fldCharType="end"/>
          </w:r>
        </w:p>
      </w:tc>
      <w:tc>
        <w:tcPr>
          <w:tcW w:w="6379" w:type="dxa"/>
          <w:tcBorders>
            <w:top w:val="nil"/>
            <w:left w:val="nil"/>
            <w:bottom w:val="nil"/>
            <w:right w:val="nil"/>
          </w:tcBorders>
          <w:shd w:val="clear" w:color="auto" w:fill="auto"/>
        </w:tcPr>
        <w:p w:rsidR="001D3618" w:rsidRPr="00550D22" w:rsidRDefault="001D3618" w:rsidP="00A001F1">
          <w:pPr>
            <w:spacing w:line="0" w:lineRule="atLeast"/>
            <w:jc w:val="center"/>
            <w:rPr>
              <w:sz w:val="18"/>
            </w:rPr>
          </w:pPr>
          <w:r>
            <w:rPr>
              <w:i/>
              <w:sz w:val="18"/>
            </w:rPr>
            <w:fldChar w:fldCharType="begin"/>
          </w:r>
          <w:r>
            <w:rPr>
              <w:i/>
              <w:sz w:val="18"/>
            </w:rPr>
            <w:instrText xml:space="preserve"> DOCPROPERTY  Subject </w:instrText>
          </w:r>
          <w:r>
            <w:rPr>
              <w:i/>
              <w:sz w:val="18"/>
            </w:rPr>
            <w:fldChar w:fldCharType="separate"/>
          </w:r>
          <w:r w:rsidR="00477DF3">
            <w:rPr>
              <w:i/>
              <w:sz w:val="18"/>
            </w:rPr>
            <w:t>Giving written drafting instructions to OPC 2.1</w:t>
          </w:r>
          <w:r>
            <w:rPr>
              <w:i/>
              <w:sz w:val="18"/>
            </w:rPr>
            <w:fldChar w:fldCharType="end"/>
          </w:r>
        </w:p>
      </w:tc>
      <w:tc>
        <w:tcPr>
          <w:tcW w:w="1417" w:type="dxa"/>
          <w:tcBorders>
            <w:top w:val="nil"/>
            <w:left w:val="nil"/>
            <w:bottom w:val="nil"/>
            <w:right w:val="nil"/>
          </w:tcBorders>
          <w:shd w:val="clear" w:color="auto" w:fill="auto"/>
        </w:tcPr>
        <w:p w:rsidR="001D3618" w:rsidRPr="00550D22" w:rsidRDefault="001D3618" w:rsidP="00714D90">
          <w:pPr>
            <w:spacing w:line="0" w:lineRule="atLeast"/>
            <w:jc w:val="right"/>
            <w:rPr>
              <w:sz w:val="18"/>
            </w:rPr>
          </w:pPr>
        </w:p>
      </w:tc>
    </w:tr>
    <w:tr w:rsidR="001D3618" w:rsidRPr="00550D22"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1D3618" w:rsidRPr="00550D22" w:rsidRDefault="001D3618" w:rsidP="00746A03">
          <w:pPr>
            <w:rPr>
              <w:sz w:val="18"/>
            </w:rPr>
          </w:pPr>
        </w:p>
      </w:tc>
    </w:tr>
  </w:tbl>
  <w:p w:rsidR="001D3618" w:rsidRPr="00530981" w:rsidRDefault="001D3618" w:rsidP="00D9016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18" w:rsidRPr="00E33C1C" w:rsidRDefault="001D3618"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1D3618" w:rsidRPr="00550D22" w:rsidTr="00746A03">
      <w:tc>
        <w:tcPr>
          <w:tcW w:w="1384" w:type="dxa"/>
          <w:tcBorders>
            <w:top w:val="nil"/>
            <w:left w:val="nil"/>
            <w:bottom w:val="nil"/>
            <w:right w:val="nil"/>
          </w:tcBorders>
          <w:shd w:val="clear" w:color="auto" w:fill="auto"/>
        </w:tcPr>
        <w:p w:rsidR="001D3618" w:rsidRPr="00550D22" w:rsidRDefault="001D3618" w:rsidP="00746A03">
          <w:pPr>
            <w:spacing w:line="0" w:lineRule="atLeast"/>
            <w:rPr>
              <w:sz w:val="18"/>
            </w:rPr>
          </w:pPr>
        </w:p>
      </w:tc>
      <w:tc>
        <w:tcPr>
          <w:tcW w:w="6379" w:type="dxa"/>
          <w:tcBorders>
            <w:top w:val="nil"/>
            <w:left w:val="nil"/>
            <w:bottom w:val="nil"/>
            <w:right w:val="nil"/>
          </w:tcBorders>
          <w:shd w:val="clear" w:color="auto" w:fill="auto"/>
        </w:tcPr>
        <w:p w:rsidR="001D3618" w:rsidRPr="00550D22" w:rsidRDefault="001D3618" w:rsidP="00A001F1">
          <w:pPr>
            <w:spacing w:line="0" w:lineRule="atLeast"/>
            <w:jc w:val="center"/>
            <w:rPr>
              <w:sz w:val="18"/>
            </w:rPr>
          </w:pPr>
          <w:r>
            <w:rPr>
              <w:i/>
              <w:sz w:val="18"/>
            </w:rPr>
            <w:fldChar w:fldCharType="begin"/>
          </w:r>
          <w:r>
            <w:rPr>
              <w:i/>
              <w:sz w:val="18"/>
            </w:rPr>
            <w:instrText xml:space="preserve"> DOCPROPERTY  Subject </w:instrText>
          </w:r>
          <w:r>
            <w:rPr>
              <w:i/>
              <w:sz w:val="18"/>
            </w:rPr>
            <w:fldChar w:fldCharType="separate"/>
          </w:r>
          <w:r w:rsidR="00477DF3">
            <w:rPr>
              <w:i/>
              <w:sz w:val="18"/>
            </w:rPr>
            <w:t>Giving written drafting instructions to OPC 2.1</w:t>
          </w:r>
          <w:r>
            <w:rPr>
              <w:i/>
              <w:sz w:val="18"/>
            </w:rPr>
            <w:fldChar w:fldCharType="end"/>
          </w:r>
        </w:p>
      </w:tc>
      <w:tc>
        <w:tcPr>
          <w:tcW w:w="1417" w:type="dxa"/>
          <w:tcBorders>
            <w:top w:val="nil"/>
            <w:left w:val="nil"/>
            <w:bottom w:val="nil"/>
            <w:right w:val="nil"/>
          </w:tcBorders>
          <w:shd w:val="clear" w:color="auto" w:fill="auto"/>
        </w:tcPr>
        <w:p w:rsidR="001D3618" w:rsidRPr="00550D22" w:rsidRDefault="001D3618" w:rsidP="00746A03">
          <w:pPr>
            <w:spacing w:line="0" w:lineRule="atLeast"/>
            <w:jc w:val="right"/>
            <w:rPr>
              <w:sz w:val="18"/>
            </w:rPr>
          </w:pPr>
          <w:r w:rsidRPr="00491DA1">
            <w:rPr>
              <w:i/>
              <w:sz w:val="18"/>
            </w:rPr>
            <w:fldChar w:fldCharType="begin"/>
          </w:r>
          <w:r w:rsidRPr="00491DA1">
            <w:rPr>
              <w:i/>
              <w:sz w:val="18"/>
            </w:rPr>
            <w:instrText xml:space="preserve"> PAGE   \* MERGEFORMAT </w:instrText>
          </w:r>
          <w:r w:rsidRPr="00491DA1">
            <w:rPr>
              <w:i/>
              <w:sz w:val="18"/>
            </w:rPr>
            <w:fldChar w:fldCharType="separate"/>
          </w:r>
          <w:r w:rsidR="00477DF3">
            <w:rPr>
              <w:i/>
              <w:noProof/>
              <w:sz w:val="18"/>
            </w:rPr>
            <w:t>i</w:t>
          </w:r>
          <w:r w:rsidRPr="00491DA1">
            <w:rPr>
              <w:i/>
              <w:noProof/>
              <w:sz w:val="18"/>
            </w:rPr>
            <w:fldChar w:fldCharType="end"/>
          </w:r>
        </w:p>
      </w:tc>
    </w:tr>
    <w:tr w:rsidR="001D3618" w:rsidRPr="00550D22"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1D3618" w:rsidRPr="00550D22" w:rsidRDefault="001D3618" w:rsidP="00746A03">
          <w:pPr>
            <w:rPr>
              <w:sz w:val="18"/>
            </w:rPr>
          </w:pPr>
        </w:p>
      </w:tc>
    </w:tr>
  </w:tbl>
  <w:p w:rsidR="001D3618" w:rsidRPr="00EA40F8" w:rsidRDefault="001D3618" w:rsidP="00D90167">
    <w:pPr>
      <w:pStyle w:val="Footer"/>
      <w:rPr>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18" w:rsidRPr="00E33C1C" w:rsidRDefault="001D3618"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1D3618" w:rsidRPr="00550D22" w:rsidTr="00746A03">
      <w:tc>
        <w:tcPr>
          <w:tcW w:w="1384" w:type="dxa"/>
          <w:tcBorders>
            <w:top w:val="nil"/>
            <w:left w:val="nil"/>
            <w:bottom w:val="nil"/>
            <w:right w:val="nil"/>
          </w:tcBorders>
          <w:shd w:val="clear" w:color="auto" w:fill="auto"/>
        </w:tcPr>
        <w:p w:rsidR="001D3618" w:rsidRPr="00AF024F" w:rsidRDefault="001D3618" w:rsidP="00746A03">
          <w:pPr>
            <w:spacing w:line="0" w:lineRule="atLeast"/>
            <w:rPr>
              <w:i/>
              <w:sz w:val="18"/>
            </w:rPr>
          </w:pPr>
          <w:r w:rsidRPr="00AF024F">
            <w:rPr>
              <w:i/>
              <w:sz w:val="18"/>
            </w:rPr>
            <w:fldChar w:fldCharType="begin"/>
          </w:r>
          <w:r w:rsidRPr="00AF024F">
            <w:rPr>
              <w:i/>
              <w:sz w:val="18"/>
            </w:rPr>
            <w:instrText xml:space="preserve"> PAGE </w:instrText>
          </w:r>
          <w:r w:rsidRPr="00AF024F">
            <w:rPr>
              <w:i/>
              <w:sz w:val="18"/>
            </w:rPr>
            <w:fldChar w:fldCharType="separate"/>
          </w:r>
          <w:r w:rsidR="00477DF3">
            <w:rPr>
              <w:i/>
              <w:noProof/>
              <w:sz w:val="18"/>
            </w:rPr>
            <w:t>8</w:t>
          </w:r>
          <w:r w:rsidRPr="00AF024F">
            <w:rPr>
              <w:i/>
              <w:sz w:val="18"/>
            </w:rPr>
            <w:fldChar w:fldCharType="end"/>
          </w:r>
        </w:p>
      </w:tc>
      <w:tc>
        <w:tcPr>
          <w:tcW w:w="6379" w:type="dxa"/>
          <w:tcBorders>
            <w:top w:val="nil"/>
            <w:left w:val="nil"/>
            <w:bottom w:val="nil"/>
            <w:right w:val="nil"/>
          </w:tcBorders>
          <w:shd w:val="clear" w:color="auto" w:fill="auto"/>
        </w:tcPr>
        <w:p w:rsidR="001D3618" w:rsidRPr="00550D22" w:rsidRDefault="001D3618" w:rsidP="00A001F1">
          <w:pPr>
            <w:spacing w:line="0" w:lineRule="atLeast"/>
            <w:jc w:val="center"/>
            <w:rPr>
              <w:sz w:val="18"/>
            </w:rPr>
          </w:pPr>
          <w:r>
            <w:rPr>
              <w:i/>
              <w:sz w:val="18"/>
            </w:rPr>
            <w:fldChar w:fldCharType="begin"/>
          </w:r>
          <w:r>
            <w:rPr>
              <w:i/>
              <w:sz w:val="18"/>
            </w:rPr>
            <w:instrText xml:space="preserve"> DOCPROPERTY  Subject </w:instrText>
          </w:r>
          <w:r>
            <w:rPr>
              <w:i/>
              <w:sz w:val="18"/>
            </w:rPr>
            <w:fldChar w:fldCharType="separate"/>
          </w:r>
          <w:r w:rsidR="00477DF3">
            <w:rPr>
              <w:i/>
              <w:sz w:val="18"/>
            </w:rPr>
            <w:t>Giving written drafting instructions to OPC 2.1</w:t>
          </w:r>
          <w:r>
            <w:rPr>
              <w:i/>
              <w:sz w:val="18"/>
            </w:rPr>
            <w:fldChar w:fldCharType="end"/>
          </w:r>
        </w:p>
      </w:tc>
      <w:tc>
        <w:tcPr>
          <w:tcW w:w="1417" w:type="dxa"/>
          <w:tcBorders>
            <w:top w:val="nil"/>
            <w:left w:val="nil"/>
            <w:bottom w:val="nil"/>
            <w:right w:val="nil"/>
          </w:tcBorders>
          <w:shd w:val="clear" w:color="auto" w:fill="auto"/>
        </w:tcPr>
        <w:p w:rsidR="001D3618" w:rsidRPr="00550D22" w:rsidRDefault="001D3618" w:rsidP="00714D90">
          <w:pPr>
            <w:spacing w:line="0" w:lineRule="atLeast"/>
            <w:jc w:val="right"/>
            <w:rPr>
              <w:sz w:val="18"/>
            </w:rPr>
          </w:pPr>
        </w:p>
      </w:tc>
    </w:tr>
    <w:tr w:rsidR="001D3618" w:rsidRPr="00550D22"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1D3618" w:rsidRPr="00550D22" w:rsidRDefault="001D3618" w:rsidP="00746A03">
          <w:pPr>
            <w:rPr>
              <w:sz w:val="18"/>
            </w:rPr>
          </w:pPr>
        </w:p>
      </w:tc>
    </w:tr>
  </w:tbl>
  <w:p w:rsidR="001D3618" w:rsidRPr="00077A3C" w:rsidRDefault="001D3618" w:rsidP="00077A3C">
    <w:pPr>
      <w:pStyle w:val="Footer"/>
      <w:rPr>
        <w:sz w:val="4"/>
        <w:szCs w:val="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618" w:rsidRPr="00E33C1C" w:rsidRDefault="001D3618" w:rsidP="00D90167">
    <w:pPr>
      <w:pBdr>
        <w:top w:val="single" w:sz="6" w:space="1" w:color="auto"/>
      </w:pBdr>
      <w:spacing w:before="24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417"/>
    </w:tblGrid>
    <w:tr w:rsidR="001D3618" w:rsidRPr="00550D22" w:rsidTr="00746A03">
      <w:tc>
        <w:tcPr>
          <w:tcW w:w="1384" w:type="dxa"/>
          <w:tcBorders>
            <w:top w:val="nil"/>
            <w:left w:val="nil"/>
            <w:bottom w:val="nil"/>
            <w:right w:val="nil"/>
          </w:tcBorders>
          <w:shd w:val="clear" w:color="auto" w:fill="auto"/>
        </w:tcPr>
        <w:p w:rsidR="001D3618" w:rsidRPr="00550D22" w:rsidRDefault="001D3618" w:rsidP="00746A03">
          <w:pPr>
            <w:spacing w:line="0" w:lineRule="atLeast"/>
            <w:rPr>
              <w:sz w:val="18"/>
            </w:rPr>
          </w:pPr>
        </w:p>
      </w:tc>
      <w:tc>
        <w:tcPr>
          <w:tcW w:w="6379" w:type="dxa"/>
          <w:tcBorders>
            <w:top w:val="nil"/>
            <w:left w:val="nil"/>
            <w:bottom w:val="nil"/>
            <w:right w:val="nil"/>
          </w:tcBorders>
          <w:shd w:val="clear" w:color="auto" w:fill="auto"/>
        </w:tcPr>
        <w:p w:rsidR="001D3618" w:rsidRPr="00550D22" w:rsidRDefault="001D3618" w:rsidP="00A001F1">
          <w:pPr>
            <w:spacing w:line="0" w:lineRule="atLeast"/>
            <w:jc w:val="center"/>
            <w:rPr>
              <w:sz w:val="18"/>
            </w:rPr>
          </w:pPr>
          <w:r>
            <w:rPr>
              <w:i/>
              <w:sz w:val="18"/>
            </w:rPr>
            <w:fldChar w:fldCharType="begin"/>
          </w:r>
          <w:r>
            <w:rPr>
              <w:i/>
              <w:sz w:val="18"/>
            </w:rPr>
            <w:instrText xml:space="preserve"> DOCPROPERTY  Subject </w:instrText>
          </w:r>
          <w:r>
            <w:rPr>
              <w:i/>
              <w:sz w:val="18"/>
            </w:rPr>
            <w:fldChar w:fldCharType="separate"/>
          </w:r>
          <w:r w:rsidR="00477DF3">
            <w:rPr>
              <w:i/>
              <w:sz w:val="18"/>
            </w:rPr>
            <w:t>Giving written drafting instructions to OPC 2.1</w:t>
          </w:r>
          <w:r>
            <w:rPr>
              <w:i/>
              <w:sz w:val="18"/>
            </w:rPr>
            <w:fldChar w:fldCharType="end"/>
          </w:r>
        </w:p>
      </w:tc>
      <w:tc>
        <w:tcPr>
          <w:tcW w:w="1417" w:type="dxa"/>
          <w:tcBorders>
            <w:top w:val="nil"/>
            <w:left w:val="nil"/>
            <w:bottom w:val="nil"/>
            <w:right w:val="nil"/>
          </w:tcBorders>
          <w:shd w:val="clear" w:color="auto" w:fill="auto"/>
        </w:tcPr>
        <w:p w:rsidR="001D3618" w:rsidRPr="00550D22" w:rsidRDefault="001D3618" w:rsidP="00746A03">
          <w:pPr>
            <w:spacing w:line="0" w:lineRule="atLeast"/>
            <w:jc w:val="right"/>
            <w:rPr>
              <w:sz w:val="18"/>
            </w:rPr>
          </w:pPr>
          <w:r w:rsidRPr="00491DA1">
            <w:rPr>
              <w:i/>
              <w:sz w:val="18"/>
            </w:rPr>
            <w:fldChar w:fldCharType="begin"/>
          </w:r>
          <w:r w:rsidRPr="00491DA1">
            <w:rPr>
              <w:i/>
              <w:sz w:val="18"/>
            </w:rPr>
            <w:instrText xml:space="preserve"> PAGE   \* MERGEFORMAT </w:instrText>
          </w:r>
          <w:r w:rsidRPr="00491DA1">
            <w:rPr>
              <w:i/>
              <w:sz w:val="18"/>
            </w:rPr>
            <w:fldChar w:fldCharType="separate"/>
          </w:r>
          <w:r w:rsidR="00477DF3">
            <w:rPr>
              <w:i/>
              <w:noProof/>
              <w:sz w:val="18"/>
            </w:rPr>
            <w:t>1</w:t>
          </w:r>
          <w:r w:rsidRPr="00491DA1">
            <w:rPr>
              <w:i/>
              <w:noProof/>
              <w:sz w:val="18"/>
            </w:rPr>
            <w:fldChar w:fldCharType="end"/>
          </w:r>
        </w:p>
      </w:tc>
    </w:tr>
    <w:tr w:rsidR="001D3618" w:rsidRPr="00550D22" w:rsidTr="00746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0" w:type="dxa"/>
          <w:gridSpan w:val="3"/>
          <w:shd w:val="clear" w:color="auto" w:fill="auto"/>
        </w:tcPr>
        <w:p w:rsidR="001D3618" w:rsidRPr="00550D22" w:rsidRDefault="001D3618" w:rsidP="00746A03">
          <w:pPr>
            <w:rPr>
              <w:sz w:val="18"/>
            </w:rPr>
          </w:pPr>
        </w:p>
      </w:tc>
    </w:tr>
  </w:tbl>
  <w:p w:rsidR="001D3618" w:rsidRPr="00EA40F8" w:rsidRDefault="001D3618" w:rsidP="00D90167">
    <w:pPr>
      <w:pStyle w:val="Footer"/>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C2" w:rsidRDefault="00F82122" w:rsidP="00BB75C2">
    <w:pPr>
      <w:pStyle w:val="Footer"/>
      <w:framePr w:wrap="around" w:vAnchor="text" w:hAnchor="margin" w:xAlign="right" w:y="1"/>
      <w:rPr>
        <w:rStyle w:val="PageNumber"/>
      </w:rPr>
    </w:pPr>
    <w:r>
      <w:rPr>
        <w:rStyle w:val="PageNumber"/>
      </w:rPr>
      <w:fldChar w:fldCharType="begin"/>
    </w:r>
    <w:r w:rsidR="00BB75C2">
      <w:rPr>
        <w:rStyle w:val="PageNumber"/>
      </w:rPr>
      <w:instrText xml:space="preserve">PAGE  </w:instrText>
    </w:r>
    <w:r>
      <w:rPr>
        <w:rStyle w:val="PageNumber"/>
      </w:rPr>
      <w:fldChar w:fldCharType="separate"/>
    </w:r>
    <w:r w:rsidR="00477DF3">
      <w:rPr>
        <w:rStyle w:val="PageNumber"/>
        <w:noProof/>
      </w:rPr>
      <w:t>3</w:t>
    </w:r>
    <w:r>
      <w:rPr>
        <w:rStyle w:val="PageNumber"/>
      </w:rPr>
      <w:fldChar w:fldCharType="end"/>
    </w:r>
  </w:p>
  <w:p w:rsidR="00BB75C2" w:rsidRDefault="00BB75C2" w:rsidP="00BB75C2">
    <w:pPr>
      <w:pStyle w:val="Footer"/>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5C2" w:rsidRDefault="00BB75C2" w:rsidP="00BB75C2">
    <w:pPr>
      <w:pStyle w:val="Footer"/>
      <w:ind w:right="360"/>
      <w:rPr>
        <w:sz w:val="16"/>
      </w:rPr>
    </w:pPr>
    <w:r>
      <w:rPr>
        <w:sz w:val="16"/>
      </w:rPr>
      <w:t>[</w:t>
    </w:r>
    <w:r w:rsidR="00594A38">
      <w:rPr>
        <w:noProof/>
        <w:sz w:val="16"/>
      </w:rPr>
      <w:t>s03ra201.v31.docx</w:t>
    </w:r>
    <w:r>
      <w:rPr>
        <w:sz w:val="16"/>
      </w:rPr>
      <w:t>] [</w:t>
    </w:r>
    <w:r w:rsidR="00594A38">
      <w:rPr>
        <w:noProof/>
        <w:sz w:val="16"/>
      </w:rPr>
      <w:t>7-Jul-16</w:t>
    </w:r>
    <w:r>
      <w:rPr>
        <w:sz w:val="16"/>
      </w:rPr>
      <w:t>] [</w:t>
    </w:r>
    <w:r w:rsidR="00594A38">
      <w:rPr>
        <w:noProof/>
        <w:sz w:val="16"/>
      </w:rPr>
      <w:t>4:09 PM</w:t>
    </w:r>
    <w:r>
      <w:rPr>
        <w:sz w:val="16"/>
      </w:rPr>
      <w:t>]</w:t>
    </w:r>
    <w:r>
      <w:rPr>
        <w:sz w:val="16"/>
      </w:rPr>
      <w:tab/>
    </w:r>
    <w:r>
      <w:rPr>
        <w:sz w:val="16"/>
      </w:rPr>
      <w:tab/>
    </w:r>
    <w:r>
      <w:t xml:space="preserve">Page  </w:t>
    </w:r>
    <w:r w:rsidR="00AB1BA3">
      <w:fldChar w:fldCharType="begin"/>
    </w:r>
    <w:r w:rsidR="00AB1BA3">
      <w:instrText xml:space="preserve"> PAGE  \* MERGEFORMAT </w:instrText>
    </w:r>
    <w:r w:rsidR="00AB1BA3">
      <w:fldChar w:fldCharType="separate"/>
    </w:r>
    <w:r w:rsidR="00477DF3">
      <w:rPr>
        <w:noProof/>
      </w:rPr>
      <w:t>3</w:t>
    </w:r>
    <w:r w:rsidR="00AB1BA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CCE" w:rsidRDefault="00C45CCE" w:rsidP="008E17F3">
      <w:pPr>
        <w:spacing w:line="240" w:lineRule="auto"/>
      </w:pPr>
      <w:r>
        <w:separator/>
      </w:r>
    </w:p>
  </w:footnote>
  <w:footnote w:type="continuationSeparator" w:id="0">
    <w:p w:rsidR="00C45CCE" w:rsidRDefault="00C45CCE" w:rsidP="008E17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CE" w:rsidRDefault="00C45CCE" w:rsidP="00C45CCE">
    <w:pPr>
      <w:pStyle w:val="Header"/>
      <w:pBdr>
        <w:bottom w:val="single" w:sz="4" w:space="1" w:color="auto"/>
      </w:pBdr>
    </w:pPr>
  </w:p>
  <w:p w:rsidR="00C45CCE" w:rsidRDefault="00C45CCE" w:rsidP="00C45CCE">
    <w:pPr>
      <w:pStyle w:val="Header"/>
    </w:pPr>
  </w:p>
  <w:p w:rsidR="00C45CCE" w:rsidRDefault="00C45CCE" w:rsidP="00C45C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CCE" w:rsidRDefault="00C45CCE" w:rsidP="00C45CCE">
    <w:pPr>
      <w:pStyle w:val="Header"/>
      <w:pBdr>
        <w:bottom w:val="single" w:sz="4" w:space="1" w:color="auto"/>
      </w:pBdr>
    </w:pPr>
  </w:p>
  <w:p w:rsidR="00C45CCE" w:rsidRDefault="00C45CCE" w:rsidP="00C45CCE">
    <w:pPr>
      <w:pStyle w:val="Header"/>
    </w:pPr>
  </w:p>
  <w:p w:rsidR="00C45CCE" w:rsidRDefault="00C45C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38" w:rsidRDefault="00594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8886D0"/>
    <w:lvl w:ilvl="0">
      <w:start w:val="1"/>
      <w:numFmt w:val="decimal"/>
      <w:lvlText w:val="%1."/>
      <w:lvlJc w:val="left"/>
      <w:pPr>
        <w:tabs>
          <w:tab w:val="num" w:pos="1492"/>
        </w:tabs>
        <w:ind w:left="1492" w:hanging="360"/>
      </w:pPr>
    </w:lvl>
  </w:abstractNum>
  <w:abstractNum w:abstractNumId="1">
    <w:nsid w:val="FFFFFF7D"/>
    <w:multiLevelType w:val="singleLevel"/>
    <w:tmpl w:val="36DAB140"/>
    <w:lvl w:ilvl="0">
      <w:start w:val="1"/>
      <w:numFmt w:val="decimal"/>
      <w:lvlText w:val="%1."/>
      <w:lvlJc w:val="left"/>
      <w:pPr>
        <w:tabs>
          <w:tab w:val="num" w:pos="1209"/>
        </w:tabs>
        <w:ind w:left="1209" w:hanging="360"/>
      </w:pPr>
    </w:lvl>
  </w:abstractNum>
  <w:abstractNum w:abstractNumId="2">
    <w:nsid w:val="FFFFFF7E"/>
    <w:multiLevelType w:val="singleLevel"/>
    <w:tmpl w:val="22D6E79E"/>
    <w:lvl w:ilvl="0">
      <w:start w:val="1"/>
      <w:numFmt w:val="decimal"/>
      <w:lvlText w:val="%1."/>
      <w:lvlJc w:val="left"/>
      <w:pPr>
        <w:tabs>
          <w:tab w:val="num" w:pos="926"/>
        </w:tabs>
        <w:ind w:left="926" w:hanging="360"/>
      </w:pPr>
    </w:lvl>
  </w:abstractNum>
  <w:abstractNum w:abstractNumId="3">
    <w:nsid w:val="FFFFFF7F"/>
    <w:multiLevelType w:val="singleLevel"/>
    <w:tmpl w:val="8A66F98A"/>
    <w:lvl w:ilvl="0">
      <w:start w:val="1"/>
      <w:numFmt w:val="decimal"/>
      <w:lvlText w:val="%1."/>
      <w:lvlJc w:val="left"/>
      <w:pPr>
        <w:tabs>
          <w:tab w:val="num" w:pos="643"/>
        </w:tabs>
        <w:ind w:left="643" w:hanging="360"/>
      </w:pPr>
    </w:lvl>
  </w:abstractNum>
  <w:abstractNum w:abstractNumId="4">
    <w:nsid w:val="FFFFFF80"/>
    <w:multiLevelType w:val="singleLevel"/>
    <w:tmpl w:val="B97A323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276A6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36AC7C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CE6F9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6708700"/>
    <w:lvl w:ilvl="0">
      <w:start w:val="1"/>
      <w:numFmt w:val="decimal"/>
      <w:lvlText w:val="%1."/>
      <w:lvlJc w:val="left"/>
      <w:pPr>
        <w:tabs>
          <w:tab w:val="num" w:pos="360"/>
        </w:tabs>
        <w:ind w:left="360" w:hanging="360"/>
      </w:pPr>
    </w:lvl>
  </w:abstractNum>
  <w:abstractNum w:abstractNumId="9">
    <w:nsid w:val="FFFFFF89"/>
    <w:multiLevelType w:val="singleLevel"/>
    <w:tmpl w:val="A3DA579E"/>
    <w:lvl w:ilvl="0">
      <w:start w:val="1"/>
      <w:numFmt w:val="bullet"/>
      <w:lvlText w:val=""/>
      <w:lvlJc w:val="left"/>
      <w:pPr>
        <w:tabs>
          <w:tab w:val="num" w:pos="360"/>
        </w:tabs>
        <w:ind w:left="360" w:hanging="360"/>
      </w:pPr>
      <w:rPr>
        <w:rFonts w:ascii="Symbol" w:hAnsi="Symbol" w:hint="default"/>
      </w:rPr>
    </w:lvl>
  </w:abstractNum>
  <w:abstractNum w:abstractNumId="10">
    <w:nsid w:val="132C265A"/>
    <w:multiLevelType w:val="hybridMultilevel"/>
    <w:tmpl w:val="2C22A0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comments" w:enforcement="1"/>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81A"/>
    <w:rsid w:val="000136AF"/>
    <w:rsid w:val="00015D11"/>
    <w:rsid w:val="000165FC"/>
    <w:rsid w:val="00022B7E"/>
    <w:rsid w:val="00034296"/>
    <w:rsid w:val="00040204"/>
    <w:rsid w:val="00045236"/>
    <w:rsid w:val="00047FFB"/>
    <w:rsid w:val="00056743"/>
    <w:rsid w:val="000614BF"/>
    <w:rsid w:val="00091C7D"/>
    <w:rsid w:val="000D05EF"/>
    <w:rsid w:val="000E4D5A"/>
    <w:rsid w:val="0010745C"/>
    <w:rsid w:val="00122C19"/>
    <w:rsid w:val="00154D00"/>
    <w:rsid w:val="00165CE2"/>
    <w:rsid w:val="00166C2F"/>
    <w:rsid w:val="00181C8F"/>
    <w:rsid w:val="001939E1"/>
    <w:rsid w:val="00195382"/>
    <w:rsid w:val="001A7069"/>
    <w:rsid w:val="001A7999"/>
    <w:rsid w:val="001B2C33"/>
    <w:rsid w:val="001C4CCB"/>
    <w:rsid w:val="001C69C4"/>
    <w:rsid w:val="001D3618"/>
    <w:rsid w:val="001D455E"/>
    <w:rsid w:val="001E3590"/>
    <w:rsid w:val="001E7407"/>
    <w:rsid w:val="00206C72"/>
    <w:rsid w:val="00224B7C"/>
    <w:rsid w:val="00231799"/>
    <w:rsid w:val="002335E3"/>
    <w:rsid w:val="002357E1"/>
    <w:rsid w:val="00253D1B"/>
    <w:rsid w:val="00280F26"/>
    <w:rsid w:val="00295FBA"/>
    <w:rsid w:val="002970D7"/>
    <w:rsid w:val="00297ECB"/>
    <w:rsid w:val="002A78D8"/>
    <w:rsid w:val="002C79D7"/>
    <w:rsid w:val="002D043A"/>
    <w:rsid w:val="002D6A8E"/>
    <w:rsid w:val="002F2F48"/>
    <w:rsid w:val="00311448"/>
    <w:rsid w:val="003330F7"/>
    <w:rsid w:val="00334F78"/>
    <w:rsid w:val="003360DF"/>
    <w:rsid w:val="00346F6E"/>
    <w:rsid w:val="00352B0F"/>
    <w:rsid w:val="00360FB0"/>
    <w:rsid w:val="00396A3B"/>
    <w:rsid w:val="003A66B5"/>
    <w:rsid w:val="003B5735"/>
    <w:rsid w:val="003D0074"/>
    <w:rsid w:val="003D0BFE"/>
    <w:rsid w:val="003D4238"/>
    <w:rsid w:val="003D5700"/>
    <w:rsid w:val="004116CD"/>
    <w:rsid w:val="0041775B"/>
    <w:rsid w:val="00424CA9"/>
    <w:rsid w:val="00434AC0"/>
    <w:rsid w:val="0044291A"/>
    <w:rsid w:val="004560FB"/>
    <w:rsid w:val="004653F8"/>
    <w:rsid w:val="00465B23"/>
    <w:rsid w:val="00477DF3"/>
    <w:rsid w:val="00481130"/>
    <w:rsid w:val="00486C48"/>
    <w:rsid w:val="00491221"/>
    <w:rsid w:val="00496F97"/>
    <w:rsid w:val="004D3494"/>
    <w:rsid w:val="00516B8D"/>
    <w:rsid w:val="00537FBC"/>
    <w:rsid w:val="005647DD"/>
    <w:rsid w:val="00567FFE"/>
    <w:rsid w:val="005739FF"/>
    <w:rsid w:val="00584811"/>
    <w:rsid w:val="00590BFE"/>
    <w:rsid w:val="00594161"/>
    <w:rsid w:val="00594749"/>
    <w:rsid w:val="00594A38"/>
    <w:rsid w:val="005A049D"/>
    <w:rsid w:val="005C4716"/>
    <w:rsid w:val="005D52E3"/>
    <w:rsid w:val="005F76F1"/>
    <w:rsid w:val="00600219"/>
    <w:rsid w:val="00612724"/>
    <w:rsid w:val="006157F3"/>
    <w:rsid w:val="006207A3"/>
    <w:rsid w:val="0062647C"/>
    <w:rsid w:val="0063733E"/>
    <w:rsid w:val="006379C9"/>
    <w:rsid w:val="006450D5"/>
    <w:rsid w:val="00663C92"/>
    <w:rsid w:val="00677CC2"/>
    <w:rsid w:val="00680F77"/>
    <w:rsid w:val="00687671"/>
    <w:rsid w:val="00690AD5"/>
    <w:rsid w:val="0069207B"/>
    <w:rsid w:val="006936A1"/>
    <w:rsid w:val="0069633D"/>
    <w:rsid w:val="006A11B4"/>
    <w:rsid w:val="006A2756"/>
    <w:rsid w:val="006C7F8C"/>
    <w:rsid w:val="006E2E9F"/>
    <w:rsid w:val="006F6085"/>
    <w:rsid w:val="00705AD8"/>
    <w:rsid w:val="007276BC"/>
    <w:rsid w:val="00731E00"/>
    <w:rsid w:val="00733990"/>
    <w:rsid w:val="007541BE"/>
    <w:rsid w:val="00766393"/>
    <w:rsid w:val="007715C9"/>
    <w:rsid w:val="00774EDD"/>
    <w:rsid w:val="007757EC"/>
    <w:rsid w:val="0079484F"/>
    <w:rsid w:val="007F5A44"/>
    <w:rsid w:val="008006B2"/>
    <w:rsid w:val="00856A31"/>
    <w:rsid w:val="00866831"/>
    <w:rsid w:val="00874F7A"/>
    <w:rsid w:val="0087542B"/>
    <w:rsid w:val="008754D0"/>
    <w:rsid w:val="0087665C"/>
    <w:rsid w:val="008A1133"/>
    <w:rsid w:val="008B21DE"/>
    <w:rsid w:val="008D10FF"/>
    <w:rsid w:val="008D20FC"/>
    <w:rsid w:val="008D42E8"/>
    <w:rsid w:val="008D56CC"/>
    <w:rsid w:val="008E17F3"/>
    <w:rsid w:val="008E3B8C"/>
    <w:rsid w:val="00913FAF"/>
    <w:rsid w:val="0092529C"/>
    <w:rsid w:val="0094622F"/>
    <w:rsid w:val="009472BA"/>
    <w:rsid w:val="0098638B"/>
    <w:rsid w:val="0099736C"/>
    <w:rsid w:val="0099781A"/>
    <w:rsid w:val="009C1414"/>
    <w:rsid w:val="009C298D"/>
    <w:rsid w:val="009D1464"/>
    <w:rsid w:val="009E0BE1"/>
    <w:rsid w:val="00A04535"/>
    <w:rsid w:val="00A231E2"/>
    <w:rsid w:val="00A474EE"/>
    <w:rsid w:val="00A56B5A"/>
    <w:rsid w:val="00A64912"/>
    <w:rsid w:val="00A70A74"/>
    <w:rsid w:val="00AA061D"/>
    <w:rsid w:val="00AB1BA3"/>
    <w:rsid w:val="00AB4745"/>
    <w:rsid w:val="00AD5641"/>
    <w:rsid w:val="00B01291"/>
    <w:rsid w:val="00B16852"/>
    <w:rsid w:val="00B33B3C"/>
    <w:rsid w:val="00B5064C"/>
    <w:rsid w:val="00B62310"/>
    <w:rsid w:val="00B82DC7"/>
    <w:rsid w:val="00B91D41"/>
    <w:rsid w:val="00BB6623"/>
    <w:rsid w:val="00BB75C2"/>
    <w:rsid w:val="00BC6D62"/>
    <w:rsid w:val="00BD3291"/>
    <w:rsid w:val="00BE719A"/>
    <w:rsid w:val="00BE720A"/>
    <w:rsid w:val="00C103E7"/>
    <w:rsid w:val="00C42BF8"/>
    <w:rsid w:val="00C45CCE"/>
    <w:rsid w:val="00C50043"/>
    <w:rsid w:val="00C61CDD"/>
    <w:rsid w:val="00C7573B"/>
    <w:rsid w:val="00C83868"/>
    <w:rsid w:val="00C84145"/>
    <w:rsid w:val="00CA678A"/>
    <w:rsid w:val="00CD2B0B"/>
    <w:rsid w:val="00CE1DF4"/>
    <w:rsid w:val="00CF0BB2"/>
    <w:rsid w:val="00D13441"/>
    <w:rsid w:val="00D51319"/>
    <w:rsid w:val="00D60BB5"/>
    <w:rsid w:val="00D704AA"/>
    <w:rsid w:val="00D70DFB"/>
    <w:rsid w:val="00D766DF"/>
    <w:rsid w:val="00DB1571"/>
    <w:rsid w:val="00DB2B62"/>
    <w:rsid w:val="00DB3CFE"/>
    <w:rsid w:val="00DC1944"/>
    <w:rsid w:val="00DC2BCA"/>
    <w:rsid w:val="00DC52AE"/>
    <w:rsid w:val="00DD027F"/>
    <w:rsid w:val="00DD5015"/>
    <w:rsid w:val="00DD68D2"/>
    <w:rsid w:val="00DE1583"/>
    <w:rsid w:val="00E1091E"/>
    <w:rsid w:val="00E16176"/>
    <w:rsid w:val="00E17D3E"/>
    <w:rsid w:val="00E3060E"/>
    <w:rsid w:val="00E337D2"/>
    <w:rsid w:val="00E4356B"/>
    <w:rsid w:val="00E46ABF"/>
    <w:rsid w:val="00E46C63"/>
    <w:rsid w:val="00E74DC7"/>
    <w:rsid w:val="00EB374E"/>
    <w:rsid w:val="00ED0C49"/>
    <w:rsid w:val="00EF2146"/>
    <w:rsid w:val="00EF2E3A"/>
    <w:rsid w:val="00F04811"/>
    <w:rsid w:val="00F078DC"/>
    <w:rsid w:val="00F23E5F"/>
    <w:rsid w:val="00F40F89"/>
    <w:rsid w:val="00F51269"/>
    <w:rsid w:val="00F66B53"/>
    <w:rsid w:val="00F82122"/>
    <w:rsid w:val="00FB241E"/>
    <w:rsid w:val="00FE4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D0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4D00"/>
  </w:style>
  <w:style w:type="paragraph" w:customStyle="1" w:styleId="OPCParaBase">
    <w:name w:val="OPCParaBase"/>
    <w:qFormat/>
    <w:rsid w:val="00154D00"/>
    <w:pPr>
      <w:spacing w:line="260" w:lineRule="atLeast"/>
    </w:pPr>
    <w:rPr>
      <w:rFonts w:eastAsia="Times New Roman" w:cs="Times New Roman"/>
      <w:sz w:val="22"/>
      <w:lang w:eastAsia="en-AU"/>
    </w:rPr>
  </w:style>
  <w:style w:type="paragraph" w:customStyle="1" w:styleId="ShortT">
    <w:name w:val="ShortT"/>
    <w:basedOn w:val="OPCParaBase"/>
    <w:next w:val="Normal"/>
    <w:qFormat/>
    <w:rsid w:val="00154D00"/>
    <w:pPr>
      <w:spacing w:line="240" w:lineRule="auto"/>
    </w:pPr>
    <w:rPr>
      <w:b/>
      <w:sz w:val="40"/>
    </w:rPr>
  </w:style>
  <w:style w:type="paragraph" w:customStyle="1" w:styleId="ActHead1">
    <w:name w:val="ActHead 1"/>
    <w:aliases w:val="c"/>
    <w:basedOn w:val="OPCParaBase"/>
    <w:next w:val="Normal"/>
    <w:qFormat/>
    <w:rsid w:val="00154D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4D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4D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4D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54D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4D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4D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4D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4D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4D00"/>
  </w:style>
  <w:style w:type="paragraph" w:customStyle="1" w:styleId="Blocks">
    <w:name w:val="Blocks"/>
    <w:aliases w:val="bb"/>
    <w:basedOn w:val="OPCParaBase"/>
    <w:qFormat/>
    <w:rsid w:val="00154D00"/>
    <w:pPr>
      <w:spacing w:line="240" w:lineRule="auto"/>
    </w:pPr>
    <w:rPr>
      <w:sz w:val="24"/>
    </w:rPr>
  </w:style>
  <w:style w:type="paragraph" w:customStyle="1" w:styleId="BoxText">
    <w:name w:val="BoxText"/>
    <w:aliases w:val="bt"/>
    <w:basedOn w:val="OPCParaBase"/>
    <w:rsid w:val="00154D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4D00"/>
    <w:rPr>
      <w:b/>
    </w:rPr>
  </w:style>
  <w:style w:type="paragraph" w:customStyle="1" w:styleId="BoxHeadItalic">
    <w:name w:val="BoxHeadItalic"/>
    <w:aliases w:val="bhi"/>
    <w:basedOn w:val="BoxText"/>
    <w:next w:val="Normal"/>
    <w:qFormat/>
    <w:rsid w:val="00154D00"/>
    <w:rPr>
      <w:i/>
    </w:rPr>
  </w:style>
  <w:style w:type="paragraph" w:customStyle="1" w:styleId="BoxList">
    <w:name w:val="BoxList"/>
    <w:aliases w:val="bl"/>
    <w:basedOn w:val="BoxText"/>
    <w:qFormat/>
    <w:rsid w:val="00154D00"/>
    <w:pPr>
      <w:ind w:left="1559" w:hanging="425"/>
    </w:pPr>
  </w:style>
  <w:style w:type="paragraph" w:customStyle="1" w:styleId="BoxNote">
    <w:name w:val="BoxNote"/>
    <w:aliases w:val="bn"/>
    <w:basedOn w:val="BoxText"/>
    <w:qFormat/>
    <w:rsid w:val="00154D00"/>
    <w:pPr>
      <w:tabs>
        <w:tab w:val="left" w:pos="1985"/>
      </w:tabs>
      <w:spacing w:before="122" w:line="198" w:lineRule="exact"/>
      <w:ind w:left="2948" w:hanging="1814"/>
    </w:pPr>
    <w:rPr>
      <w:sz w:val="18"/>
    </w:rPr>
  </w:style>
  <w:style w:type="paragraph" w:customStyle="1" w:styleId="BoxPara">
    <w:name w:val="BoxPara"/>
    <w:aliases w:val="bp"/>
    <w:basedOn w:val="BoxText"/>
    <w:qFormat/>
    <w:rsid w:val="00154D00"/>
    <w:pPr>
      <w:tabs>
        <w:tab w:val="right" w:pos="2268"/>
      </w:tabs>
      <w:ind w:left="2552" w:hanging="1418"/>
    </w:pPr>
  </w:style>
  <w:style w:type="paragraph" w:customStyle="1" w:styleId="BoxStep">
    <w:name w:val="BoxStep"/>
    <w:aliases w:val="bs"/>
    <w:basedOn w:val="BoxText"/>
    <w:qFormat/>
    <w:rsid w:val="00154D00"/>
    <w:pPr>
      <w:ind w:left="1985" w:hanging="851"/>
    </w:pPr>
  </w:style>
  <w:style w:type="character" w:customStyle="1" w:styleId="CharAmPartNo">
    <w:name w:val="CharAmPartNo"/>
    <w:basedOn w:val="OPCCharBase"/>
    <w:uiPriority w:val="1"/>
    <w:qFormat/>
    <w:rsid w:val="00154D00"/>
  </w:style>
  <w:style w:type="character" w:customStyle="1" w:styleId="CharAmPartText">
    <w:name w:val="CharAmPartText"/>
    <w:basedOn w:val="OPCCharBase"/>
    <w:uiPriority w:val="1"/>
    <w:qFormat/>
    <w:rsid w:val="00154D00"/>
  </w:style>
  <w:style w:type="character" w:customStyle="1" w:styleId="CharAmSchNo">
    <w:name w:val="CharAmSchNo"/>
    <w:basedOn w:val="OPCCharBase"/>
    <w:uiPriority w:val="1"/>
    <w:qFormat/>
    <w:rsid w:val="00154D00"/>
  </w:style>
  <w:style w:type="character" w:customStyle="1" w:styleId="CharAmSchText">
    <w:name w:val="CharAmSchText"/>
    <w:basedOn w:val="OPCCharBase"/>
    <w:uiPriority w:val="1"/>
    <w:qFormat/>
    <w:rsid w:val="00154D00"/>
  </w:style>
  <w:style w:type="character" w:customStyle="1" w:styleId="CharBoldItalic">
    <w:name w:val="CharBoldItalic"/>
    <w:basedOn w:val="OPCCharBase"/>
    <w:uiPriority w:val="1"/>
    <w:qFormat/>
    <w:rsid w:val="00154D00"/>
    <w:rPr>
      <w:b/>
      <w:i/>
    </w:rPr>
  </w:style>
  <w:style w:type="character" w:customStyle="1" w:styleId="CharChapNo">
    <w:name w:val="CharChapNo"/>
    <w:basedOn w:val="OPCCharBase"/>
    <w:uiPriority w:val="1"/>
    <w:qFormat/>
    <w:rsid w:val="00154D00"/>
  </w:style>
  <w:style w:type="character" w:customStyle="1" w:styleId="CharChapText">
    <w:name w:val="CharChapText"/>
    <w:basedOn w:val="OPCCharBase"/>
    <w:uiPriority w:val="1"/>
    <w:qFormat/>
    <w:rsid w:val="00154D00"/>
  </w:style>
  <w:style w:type="character" w:customStyle="1" w:styleId="CharDivNo">
    <w:name w:val="CharDivNo"/>
    <w:basedOn w:val="OPCCharBase"/>
    <w:uiPriority w:val="1"/>
    <w:qFormat/>
    <w:rsid w:val="00154D00"/>
  </w:style>
  <w:style w:type="character" w:customStyle="1" w:styleId="CharDivText">
    <w:name w:val="CharDivText"/>
    <w:basedOn w:val="OPCCharBase"/>
    <w:uiPriority w:val="1"/>
    <w:qFormat/>
    <w:rsid w:val="00154D00"/>
  </w:style>
  <w:style w:type="character" w:customStyle="1" w:styleId="CharItalic">
    <w:name w:val="CharItalic"/>
    <w:basedOn w:val="OPCCharBase"/>
    <w:uiPriority w:val="1"/>
    <w:qFormat/>
    <w:rsid w:val="00154D00"/>
    <w:rPr>
      <w:i/>
    </w:rPr>
  </w:style>
  <w:style w:type="character" w:customStyle="1" w:styleId="CharPartNo">
    <w:name w:val="CharPartNo"/>
    <w:basedOn w:val="OPCCharBase"/>
    <w:uiPriority w:val="1"/>
    <w:qFormat/>
    <w:rsid w:val="00154D00"/>
  </w:style>
  <w:style w:type="character" w:customStyle="1" w:styleId="CharPartText">
    <w:name w:val="CharPartText"/>
    <w:basedOn w:val="OPCCharBase"/>
    <w:uiPriority w:val="1"/>
    <w:qFormat/>
    <w:rsid w:val="00154D00"/>
  </w:style>
  <w:style w:type="character" w:customStyle="1" w:styleId="CharSectno">
    <w:name w:val="CharSectno"/>
    <w:basedOn w:val="OPCCharBase"/>
    <w:uiPriority w:val="1"/>
    <w:qFormat/>
    <w:rsid w:val="00154D00"/>
  </w:style>
  <w:style w:type="character" w:customStyle="1" w:styleId="CharSubdNo">
    <w:name w:val="CharSubdNo"/>
    <w:basedOn w:val="OPCCharBase"/>
    <w:uiPriority w:val="1"/>
    <w:qFormat/>
    <w:rsid w:val="00154D00"/>
  </w:style>
  <w:style w:type="character" w:customStyle="1" w:styleId="CharSubdText">
    <w:name w:val="CharSubdText"/>
    <w:basedOn w:val="OPCCharBase"/>
    <w:uiPriority w:val="1"/>
    <w:qFormat/>
    <w:rsid w:val="00154D00"/>
  </w:style>
  <w:style w:type="paragraph" w:customStyle="1" w:styleId="CTA--">
    <w:name w:val="CTA --"/>
    <w:basedOn w:val="OPCParaBase"/>
    <w:next w:val="Normal"/>
    <w:rsid w:val="00154D00"/>
    <w:pPr>
      <w:spacing w:before="60" w:line="240" w:lineRule="atLeast"/>
      <w:ind w:left="142" w:hanging="142"/>
    </w:pPr>
    <w:rPr>
      <w:sz w:val="20"/>
    </w:rPr>
  </w:style>
  <w:style w:type="paragraph" w:customStyle="1" w:styleId="CTA-">
    <w:name w:val="CTA -"/>
    <w:basedOn w:val="OPCParaBase"/>
    <w:rsid w:val="00154D00"/>
    <w:pPr>
      <w:spacing w:before="60" w:line="240" w:lineRule="atLeast"/>
      <w:ind w:left="85" w:hanging="85"/>
    </w:pPr>
    <w:rPr>
      <w:sz w:val="20"/>
    </w:rPr>
  </w:style>
  <w:style w:type="paragraph" w:customStyle="1" w:styleId="CTA---">
    <w:name w:val="CTA ---"/>
    <w:basedOn w:val="OPCParaBase"/>
    <w:next w:val="Normal"/>
    <w:rsid w:val="00154D00"/>
    <w:pPr>
      <w:spacing w:before="60" w:line="240" w:lineRule="atLeast"/>
      <w:ind w:left="198" w:hanging="198"/>
    </w:pPr>
    <w:rPr>
      <w:sz w:val="20"/>
    </w:rPr>
  </w:style>
  <w:style w:type="paragraph" w:customStyle="1" w:styleId="CTA----">
    <w:name w:val="CTA ----"/>
    <w:basedOn w:val="OPCParaBase"/>
    <w:next w:val="Normal"/>
    <w:rsid w:val="00154D00"/>
    <w:pPr>
      <w:spacing w:before="60" w:line="240" w:lineRule="atLeast"/>
      <w:ind w:left="255" w:hanging="255"/>
    </w:pPr>
    <w:rPr>
      <w:sz w:val="20"/>
    </w:rPr>
  </w:style>
  <w:style w:type="paragraph" w:customStyle="1" w:styleId="CTA1a">
    <w:name w:val="CTA 1(a)"/>
    <w:basedOn w:val="OPCParaBase"/>
    <w:rsid w:val="00154D00"/>
    <w:pPr>
      <w:tabs>
        <w:tab w:val="right" w:pos="414"/>
      </w:tabs>
      <w:spacing w:before="40" w:line="240" w:lineRule="atLeast"/>
      <w:ind w:left="675" w:hanging="675"/>
    </w:pPr>
    <w:rPr>
      <w:sz w:val="20"/>
    </w:rPr>
  </w:style>
  <w:style w:type="paragraph" w:customStyle="1" w:styleId="CTA1ai">
    <w:name w:val="CTA 1(a)(i)"/>
    <w:basedOn w:val="OPCParaBase"/>
    <w:rsid w:val="00154D00"/>
    <w:pPr>
      <w:tabs>
        <w:tab w:val="right" w:pos="1004"/>
      </w:tabs>
      <w:spacing w:before="40" w:line="240" w:lineRule="atLeast"/>
      <w:ind w:left="1253" w:hanging="1253"/>
    </w:pPr>
    <w:rPr>
      <w:sz w:val="20"/>
    </w:rPr>
  </w:style>
  <w:style w:type="paragraph" w:customStyle="1" w:styleId="CTA2a">
    <w:name w:val="CTA 2(a)"/>
    <w:basedOn w:val="OPCParaBase"/>
    <w:rsid w:val="00154D00"/>
    <w:pPr>
      <w:tabs>
        <w:tab w:val="right" w:pos="482"/>
      </w:tabs>
      <w:spacing w:before="40" w:line="240" w:lineRule="atLeast"/>
      <w:ind w:left="748" w:hanging="748"/>
    </w:pPr>
    <w:rPr>
      <w:sz w:val="20"/>
    </w:rPr>
  </w:style>
  <w:style w:type="paragraph" w:customStyle="1" w:styleId="CTA2ai">
    <w:name w:val="CTA 2(a)(i)"/>
    <w:basedOn w:val="OPCParaBase"/>
    <w:rsid w:val="00154D00"/>
    <w:pPr>
      <w:tabs>
        <w:tab w:val="right" w:pos="1089"/>
      </w:tabs>
      <w:spacing w:before="40" w:line="240" w:lineRule="atLeast"/>
      <w:ind w:left="1327" w:hanging="1327"/>
    </w:pPr>
    <w:rPr>
      <w:sz w:val="20"/>
    </w:rPr>
  </w:style>
  <w:style w:type="paragraph" w:customStyle="1" w:styleId="CTA3a">
    <w:name w:val="CTA 3(a)"/>
    <w:basedOn w:val="OPCParaBase"/>
    <w:rsid w:val="00154D00"/>
    <w:pPr>
      <w:tabs>
        <w:tab w:val="right" w:pos="556"/>
      </w:tabs>
      <w:spacing w:before="40" w:line="240" w:lineRule="atLeast"/>
      <w:ind w:left="805" w:hanging="805"/>
    </w:pPr>
    <w:rPr>
      <w:sz w:val="20"/>
    </w:rPr>
  </w:style>
  <w:style w:type="paragraph" w:customStyle="1" w:styleId="CTA3ai">
    <w:name w:val="CTA 3(a)(i)"/>
    <w:basedOn w:val="OPCParaBase"/>
    <w:rsid w:val="00154D00"/>
    <w:pPr>
      <w:tabs>
        <w:tab w:val="right" w:pos="1140"/>
      </w:tabs>
      <w:spacing w:before="40" w:line="240" w:lineRule="atLeast"/>
      <w:ind w:left="1361" w:hanging="1361"/>
    </w:pPr>
    <w:rPr>
      <w:sz w:val="20"/>
    </w:rPr>
  </w:style>
  <w:style w:type="paragraph" w:customStyle="1" w:styleId="CTA4a">
    <w:name w:val="CTA 4(a)"/>
    <w:basedOn w:val="OPCParaBase"/>
    <w:rsid w:val="00154D00"/>
    <w:pPr>
      <w:tabs>
        <w:tab w:val="right" w:pos="624"/>
      </w:tabs>
      <w:spacing w:before="40" w:line="240" w:lineRule="atLeast"/>
      <w:ind w:left="873" w:hanging="873"/>
    </w:pPr>
    <w:rPr>
      <w:sz w:val="20"/>
    </w:rPr>
  </w:style>
  <w:style w:type="paragraph" w:customStyle="1" w:styleId="CTA4ai">
    <w:name w:val="CTA 4(a)(i)"/>
    <w:basedOn w:val="OPCParaBase"/>
    <w:rsid w:val="00154D00"/>
    <w:pPr>
      <w:tabs>
        <w:tab w:val="right" w:pos="1213"/>
      </w:tabs>
      <w:spacing w:before="40" w:line="240" w:lineRule="atLeast"/>
      <w:ind w:left="1452" w:hanging="1452"/>
    </w:pPr>
    <w:rPr>
      <w:sz w:val="20"/>
    </w:rPr>
  </w:style>
  <w:style w:type="paragraph" w:customStyle="1" w:styleId="CTACAPS">
    <w:name w:val="CTA CAPS"/>
    <w:basedOn w:val="OPCParaBase"/>
    <w:rsid w:val="00154D00"/>
    <w:pPr>
      <w:spacing w:before="60" w:line="240" w:lineRule="atLeast"/>
    </w:pPr>
    <w:rPr>
      <w:sz w:val="20"/>
    </w:rPr>
  </w:style>
  <w:style w:type="paragraph" w:customStyle="1" w:styleId="CTAright">
    <w:name w:val="CTA right"/>
    <w:basedOn w:val="OPCParaBase"/>
    <w:rsid w:val="00154D00"/>
    <w:pPr>
      <w:spacing w:before="60" w:line="240" w:lineRule="auto"/>
      <w:jc w:val="right"/>
    </w:pPr>
    <w:rPr>
      <w:sz w:val="20"/>
    </w:rPr>
  </w:style>
  <w:style w:type="paragraph" w:customStyle="1" w:styleId="subsection">
    <w:name w:val="subsection"/>
    <w:aliases w:val="ss"/>
    <w:basedOn w:val="OPCParaBase"/>
    <w:rsid w:val="00154D00"/>
    <w:pPr>
      <w:tabs>
        <w:tab w:val="right" w:pos="1021"/>
      </w:tabs>
      <w:spacing w:before="180" w:line="240" w:lineRule="auto"/>
      <w:ind w:left="1134" w:hanging="1134"/>
    </w:pPr>
  </w:style>
  <w:style w:type="paragraph" w:customStyle="1" w:styleId="Definition">
    <w:name w:val="Definition"/>
    <w:aliases w:val="dd"/>
    <w:basedOn w:val="OPCParaBase"/>
    <w:rsid w:val="00154D00"/>
    <w:pPr>
      <w:spacing w:before="180" w:line="240" w:lineRule="auto"/>
      <w:ind w:left="1134"/>
    </w:pPr>
  </w:style>
  <w:style w:type="paragraph" w:customStyle="1" w:styleId="ETAsubitem">
    <w:name w:val="ETA(subitem)"/>
    <w:basedOn w:val="OPCParaBase"/>
    <w:rsid w:val="00154D00"/>
    <w:pPr>
      <w:tabs>
        <w:tab w:val="right" w:pos="340"/>
      </w:tabs>
      <w:spacing w:before="60" w:line="240" w:lineRule="auto"/>
      <w:ind w:left="454" w:hanging="454"/>
    </w:pPr>
    <w:rPr>
      <w:sz w:val="20"/>
    </w:rPr>
  </w:style>
  <w:style w:type="paragraph" w:customStyle="1" w:styleId="ETApara">
    <w:name w:val="ETA(para)"/>
    <w:basedOn w:val="OPCParaBase"/>
    <w:rsid w:val="00154D00"/>
    <w:pPr>
      <w:tabs>
        <w:tab w:val="right" w:pos="754"/>
      </w:tabs>
      <w:spacing w:before="60" w:line="240" w:lineRule="auto"/>
      <w:ind w:left="828" w:hanging="828"/>
    </w:pPr>
    <w:rPr>
      <w:sz w:val="20"/>
    </w:rPr>
  </w:style>
  <w:style w:type="paragraph" w:customStyle="1" w:styleId="ETAsubpara">
    <w:name w:val="ETA(subpara)"/>
    <w:basedOn w:val="OPCParaBase"/>
    <w:rsid w:val="00154D00"/>
    <w:pPr>
      <w:tabs>
        <w:tab w:val="right" w:pos="1083"/>
      </w:tabs>
      <w:spacing w:before="60" w:line="240" w:lineRule="auto"/>
      <w:ind w:left="1191" w:hanging="1191"/>
    </w:pPr>
    <w:rPr>
      <w:sz w:val="20"/>
    </w:rPr>
  </w:style>
  <w:style w:type="paragraph" w:customStyle="1" w:styleId="ETAsub-subpara">
    <w:name w:val="ETA(sub-subpara)"/>
    <w:basedOn w:val="OPCParaBase"/>
    <w:rsid w:val="00154D00"/>
    <w:pPr>
      <w:tabs>
        <w:tab w:val="right" w:pos="1412"/>
      </w:tabs>
      <w:spacing w:before="60" w:line="240" w:lineRule="auto"/>
      <w:ind w:left="1525" w:hanging="1525"/>
    </w:pPr>
    <w:rPr>
      <w:sz w:val="20"/>
    </w:rPr>
  </w:style>
  <w:style w:type="paragraph" w:customStyle="1" w:styleId="Formula">
    <w:name w:val="Formula"/>
    <w:basedOn w:val="OPCParaBase"/>
    <w:rsid w:val="00154D00"/>
    <w:pPr>
      <w:spacing w:line="240" w:lineRule="auto"/>
      <w:ind w:left="1134"/>
    </w:pPr>
    <w:rPr>
      <w:sz w:val="20"/>
    </w:rPr>
  </w:style>
  <w:style w:type="paragraph" w:styleId="Header">
    <w:name w:val="header"/>
    <w:basedOn w:val="OPCParaBase"/>
    <w:link w:val="HeaderChar"/>
    <w:unhideWhenUsed/>
    <w:rsid w:val="00154D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4D00"/>
    <w:rPr>
      <w:rFonts w:eastAsia="Times New Roman" w:cs="Times New Roman"/>
      <w:sz w:val="16"/>
      <w:lang w:eastAsia="en-AU"/>
    </w:rPr>
  </w:style>
  <w:style w:type="paragraph" w:customStyle="1" w:styleId="House">
    <w:name w:val="House"/>
    <w:basedOn w:val="OPCParaBase"/>
    <w:rsid w:val="00154D00"/>
    <w:pPr>
      <w:spacing w:line="240" w:lineRule="auto"/>
    </w:pPr>
    <w:rPr>
      <w:sz w:val="28"/>
    </w:rPr>
  </w:style>
  <w:style w:type="paragraph" w:customStyle="1" w:styleId="Item">
    <w:name w:val="Item"/>
    <w:aliases w:val="i"/>
    <w:basedOn w:val="OPCParaBase"/>
    <w:next w:val="ItemHead"/>
    <w:rsid w:val="00154D00"/>
    <w:pPr>
      <w:keepLines/>
      <w:spacing w:before="80" w:line="240" w:lineRule="auto"/>
      <w:ind w:left="709"/>
    </w:pPr>
  </w:style>
  <w:style w:type="paragraph" w:customStyle="1" w:styleId="ItemHead">
    <w:name w:val="ItemHead"/>
    <w:aliases w:val="ih"/>
    <w:basedOn w:val="OPCParaBase"/>
    <w:next w:val="Item"/>
    <w:rsid w:val="00154D00"/>
    <w:pPr>
      <w:keepLines/>
      <w:spacing w:before="220" w:line="240" w:lineRule="auto"/>
      <w:ind w:left="709" w:hanging="709"/>
    </w:pPr>
    <w:rPr>
      <w:rFonts w:ascii="Arial" w:hAnsi="Arial"/>
      <w:b/>
      <w:kern w:val="28"/>
      <w:sz w:val="24"/>
    </w:rPr>
  </w:style>
  <w:style w:type="paragraph" w:customStyle="1" w:styleId="LongT">
    <w:name w:val="LongT"/>
    <w:basedOn w:val="OPCParaBase"/>
    <w:rsid w:val="00154D00"/>
    <w:pPr>
      <w:spacing w:line="240" w:lineRule="auto"/>
    </w:pPr>
    <w:rPr>
      <w:b/>
      <w:sz w:val="32"/>
    </w:rPr>
  </w:style>
  <w:style w:type="paragraph" w:customStyle="1" w:styleId="notedraft">
    <w:name w:val="note(draft)"/>
    <w:aliases w:val="nd"/>
    <w:basedOn w:val="OPCParaBase"/>
    <w:rsid w:val="00154D00"/>
    <w:pPr>
      <w:spacing w:before="240" w:line="240" w:lineRule="auto"/>
      <w:ind w:left="284" w:hanging="284"/>
    </w:pPr>
    <w:rPr>
      <w:i/>
      <w:sz w:val="24"/>
    </w:rPr>
  </w:style>
  <w:style w:type="paragraph" w:customStyle="1" w:styleId="notemargin">
    <w:name w:val="note(margin)"/>
    <w:aliases w:val="nm"/>
    <w:basedOn w:val="OPCParaBase"/>
    <w:rsid w:val="00154D00"/>
    <w:pPr>
      <w:tabs>
        <w:tab w:val="left" w:pos="709"/>
      </w:tabs>
      <w:spacing w:before="122" w:line="198" w:lineRule="exact"/>
      <w:ind w:left="709" w:hanging="709"/>
    </w:pPr>
    <w:rPr>
      <w:sz w:val="18"/>
    </w:rPr>
  </w:style>
  <w:style w:type="paragraph" w:customStyle="1" w:styleId="notepara">
    <w:name w:val="note(para)"/>
    <w:aliases w:val="na"/>
    <w:basedOn w:val="OPCParaBase"/>
    <w:rsid w:val="00154D00"/>
    <w:pPr>
      <w:spacing w:before="40" w:line="198" w:lineRule="exact"/>
      <w:ind w:left="2354" w:hanging="369"/>
    </w:pPr>
    <w:rPr>
      <w:sz w:val="18"/>
    </w:rPr>
  </w:style>
  <w:style w:type="paragraph" w:customStyle="1" w:styleId="noteParlAmend">
    <w:name w:val="note(ParlAmend)"/>
    <w:aliases w:val="npp"/>
    <w:basedOn w:val="OPCParaBase"/>
    <w:next w:val="ParlAmend"/>
    <w:rsid w:val="00154D00"/>
    <w:pPr>
      <w:spacing w:line="240" w:lineRule="auto"/>
      <w:jc w:val="right"/>
    </w:pPr>
    <w:rPr>
      <w:rFonts w:ascii="Arial" w:hAnsi="Arial"/>
      <w:b/>
      <w:i/>
    </w:rPr>
  </w:style>
  <w:style w:type="paragraph" w:customStyle="1" w:styleId="notetext">
    <w:name w:val="note(text)"/>
    <w:aliases w:val="n"/>
    <w:basedOn w:val="OPCParaBase"/>
    <w:rsid w:val="00154D00"/>
    <w:pPr>
      <w:spacing w:before="122" w:line="240" w:lineRule="auto"/>
      <w:ind w:left="1985" w:hanging="851"/>
    </w:pPr>
    <w:rPr>
      <w:sz w:val="18"/>
    </w:rPr>
  </w:style>
  <w:style w:type="paragraph" w:customStyle="1" w:styleId="Page1">
    <w:name w:val="Page1"/>
    <w:basedOn w:val="OPCParaBase"/>
    <w:rsid w:val="00154D00"/>
    <w:pPr>
      <w:spacing w:before="5600" w:line="240" w:lineRule="auto"/>
    </w:pPr>
    <w:rPr>
      <w:b/>
      <w:sz w:val="32"/>
    </w:rPr>
  </w:style>
  <w:style w:type="paragraph" w:customStyle="1" w:styleId="PageBreak">
    <w:name w:val="PageBreak"/>
    <w:aliases w:val="pb"/>
    <w:basedOn w:val="OPCParaBase"/>
    <w:rsid w:val="00154D00"/>
    <w:pPr>
      <w:spacing w:line="240" w:lineRule="auto"/>
    </w:pPr>
    <w:rPr>
      <w:sz w:val="10"/>
    </w:rPr>
  </w:style>
  <w:style w:type="paragraph" w:customStyle="1" w:styleId="paragraphsub">
    <w:name w:val="paragraph(sub)"/>
    <w:aliases w:val="aa"/>
    <w:basedOn w:val="OPCParaBase"/>
    <w:rsid w:val="00154D00"/>
    <w:pPr>
      <w:tabs>
        <w:tab w:val="right" w:pos="1985"/>
      </w:tabs>
      <w:spacing w:before="40" w:line="240" w:lineRule="auto"/>
      <w:ind w:left="2098" w:hanging="2098"/>
    </w:pPr>
  </w:style>
  <w:style w:type="paragraph" w:customStyle="1" w:styleId="paragraphsub-sub">
    <w:name w:val="paragraph(sub-sub)"/>
    <w:aliases w:val="aaa"/>
    <w:basedOn w:val="OPCParaBase"/>
    <w:rsid w:val="00154D00"/>
    <w:pPr>
      <w:tabs>
        <w:tab w:val="right" w:pos="2722"/>
      </w:tabs>
      <w:spacing w:before="40" w:line="240" w:lineRule="auto"/>
      <w:ind w:left="2835" w:hanging="2835"/>
    </w:pPr>
  </w:style>
  <w:style w:type="paragraph" w:customStyle="1" w:styleId="paragraph">
    <w:name w:val="paragraph"/>
    <w:aliases w:val="a"/>
    <w:basedOn w:val="OPCParaBase"/>
    <w:rsid w:val="00154D00"/>
    <w:pPr>
      <w:tabs>
        <w:tab w:val="right" w:pos="1531"/>
      </w:tabs>
      <w:spacing w:before="40" w:line="240" w:lineRule="auto"/>
      <w:ind w:left="1644" w:hanging="1644"/>
    </w:pPr>
  </w:style>
  <w:style w:type="paragraph" w:customStyle="1" w:styleId="ParlAmend">
    <w:name w:val="ParlAmend"/>
    <w:aliases w:val="pp"/>
    <w:basedOn w:val="OPCParaBase"/>
    <w:rsid w:val="00154D00"/>
    <w:pPr>
      <w:spacing w:before="240" w:line="240" w:lineRule="atLeast"/>
      <w:ind w:hanging="567"/>
    </w:pPr>
    <w:rPr>
      <w:sz w:val="24"/>
    </w:rPr>
  </w:style>
  <w:style w:type="paragraph" w:customStyle="1" w:styleId="Penalty">
    <w:name w:val="Penalty"/>
    <w:basedOn w:val="OPCParaBase"/>
    <w:rsid w:val="00154D00"/>
    <w:pPr>
      <w:tabs>
        <w:tab w:val="left" w:pos="2977"/>
      </w:tabs>
      <w:spacing w:before="180" w:line="240" w:lineRule="auto"/>
      <w:ind w:left="1985" w:hanging="851"/>
    </w:pPr>
  </w:style>
  <w:style w:type="paragraph" w:customStyle="1" w:styleId="Portfolio">
    <w:name w:val="Portfolio"/>
    <w:basedOn w:val="OPCParaBase"/>
    <w:rsid w:val="00154D00"/>
    <w:pPr>
      <w:spacing w:line="240" w:lineRule="auto"/>
    </w:pPr>
    <w:rPr>
      <w:i/>
      <w:sz w:val="20"/>
    </w:rPr>
  </w:style>
  <w:style w:type="paragraph" w:customStyle="1" w:styleId="Preamble">
    <w:name w:val="Preamble"/>
    <w:basedOn w:val="OPCParaBase"/>
    <w:next w:val="Normal"/>
    <w:rsid w:val="00154D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4D00"/>
    <w:pPr>
      <w:spacing w:line="240" w:lineRule="auto"/>
    </w:pPr>
    <w:rPr>
      <w:i/>
      <w:sz w:val="20"/>
    </w:rPr>
  </w:style>
  <w:style w:type="paragraph" w:customStyle="1" w:styleId="Session">
    <w:name w:val="Session"/>
    <w:basedOn w:val="OPCParaBase"/>
    <w:rsid w:val="00154D00"/>
    <w:pPr>
      <w:spacing w:line="240" w:lineRule="auto"/>
    </w:pPr>
    <w:rPr>
      <w:sz w:val="28"/>
    </w:rPr>
  </w:style>
  <w:style w:type="paragraph" w:customStyle="1" w:styleId="Sponsor">
    <w:name w:val="Sponsor"/>
    <w:basedOn w:val="OPCParaBase"/>
    <w:rsid w:val="00154D00"/>
    <w:pPr>
      <w:spacing w:line="240" w:lineRule="auto"/>
    </w:pPr>
    <w:rPr>
      <w:i/>
    </w:rPr>
  </w:style>
  <w:style w:type="paragraph" w:customStyle="1" w:styleId="Subitem">
    <w:name w:val="Subitem"/>
    <w:aliases w:val="iss"/>
    <w:basedOn w:val="OPCParaBase"/>
    <w:rsid w:val="00154D00"/>
    <w:pPr>
      <w:spacing w:before="180" w:line="240" w:lineRule="auto"/>
      <w:ind w:left="709" w:hanging="709"/>
    </w:pPr>
  </w:style>
  <w:style w:type="paragraph" w:customStyle="1" w:styleId="SubitemHead">
    <w:name w:val="SubitemHead"/>
    <w:aliases w:val="issh"/>
    <w:basedOn w:val="OPCParaBase"/>
    <w:rsid w:val="00154D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4D00"/>
    <w:pPr>
      <w:spacing w:before="40" w:line="240" w:lineRule="auto"/>
      <w:ind w:left="1134"/>
    </w:pPr>
  </w:style>
  <w:style w:type="paragraph" w:customStyle="1" w:styleId="SubsectionHead">
    <w:name w:val="SubsectionHead"/>
    <w:aliases w:val="ssh"/>
    <w:basedOn w:val="OPCParaBase"/>
    <w:next w:val="subsection"/>
    <w:rsid w:val="00154D00"/>
    <w:pPr>
      <w:keepNext/>
      <w:keepLines/>
      <w:spacing w:before="240" w:line="240" w:lineRule="auto"/>
      <w:ind w:left="1134"/>
    </w:pPr>
    <w:rPr>
      <w:i/>
    </w:rPr>
  </w:style>
  <w:style w:type="paragraph" w:customStyle="1" w:styleId="Tablea">
    <w:name w:val="Table(a)"/>
    <w:aliases w:val="ta"/>
    <w:basedOn w:val="OPCParaBase"/>
    <w:rsid w:val="00154D00"/>
    <w:pPr>
      <w:spacing w:before="60" w:line="240" w:lineRule="auto"/>
      <w:ind w:left="284" w:hanging="284"/>
    </w:pPr>
    <w:rPr>
      <w:sz w:val="20"/>
    </w:rPr>
  </w:style>
  <w:style w:type="paragraph" w:customStyle="1" w:styleId="TableAA">
    <w:name w:val="Table(AA)"/>
    <w:aliases w:val="taaa"/>
    <w:basedOn w:val="OPCParaBase"/>
    <w:rsid w:val="00154D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4D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4D00"/>
    <w:pPr>
      <w:spacing w:before="60" w:line="240" w:lineRule="atLeast"/>
    </w:pPr>
    <w:rPr>
      <w:sz w:val="20"/>
    </w:rPr>
  </w:style>
  <w:style w:type="paragraph" w:customStyle="1" w:styleId="TLPBoxTextnote">
    <w:name w:val="TLPBoxText(note"/>
    <w:aliases w:val="right)"/>
    <w:basedOn w:val="OPCParaBase"/>
    <w:rsid w:val="00154D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4D0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154D00"/>
    <w:pPr>
      <w:spacing w:before="122" w:line="198" w:lineRule="exact"/>
      <w:ind w:left="1985" w:hanging="851"/>
      <w:jc w:val="right"/>
    </w:pPr>
    <w:rPr>
      <w:sz w:val="18"/>
    </w:rPr>
  </w:style>
  <w:style w:type="paragraph" w:customStyle="1" w:styleId="TLPTableBullet">
    <w:name w:val="TLPTableBullet"/>
    <w:aliases w:val="ttb"/>
    <w:basedOn w:val="OPCParaBase"/>
    <w:rsid w:val="00154D00"/>
    <w:pPr>
      <w:spacing w:line="240" w:lineRule="exact"/>
      <w:ind w:left="284" w:hanging="284"/>
    </w:pPr>
    <w:rPr>
      <w:sz w:val="20"/>
    </w:rPr>
  </w:style>
  <w:style w:type="paragraph" w:styleId="TOC1">
    <w:name w:val="toc 1"/>
    <w:basedOn w:val="OPCParaBase"/>
    <w:next w:val="Normal"/>
    <w:uiPriority w:val="39"/>
    <w:unhideWhenUsed/>
    <w:rsid w:val="00154D00"/>
    <w:pPr>
      <w:spacing w:line="240" w:lineRule="auto"/>
    </w:pPr>
    <w:rPr>
      <w:sz w:val="24"/>
    </w:rPr>
  </w:style>
  <w:style w:type="paragraph" w:styleId="TOC2">
    <w:name w:val="toc 2"/>
    <w:basedOn w:val="OPCParaBase"/>
    <w:next w:val="Normal"/>
    <w:uiPriority w:val="39"/>
    <w:unhideWhenUsed/>
    <w:rsid w:val="00154D0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154D0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154D0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154D00"/>
    <w:pPr>
      <w:spacing w:line="240" w:lineRule="auto"/>
      <w:ind w:left="958"/>
    </w:pPr>
    <w:rPr>
      <w:sz w:val="24"/>
    </w:rPr>
  </w:style>
  <w:style w:type="paragraph" w:styleId="TOC6">
    <w:name w:val="toc 6"/>
    <w:basedOn w:val="OPCParaBase"/>
    <w:next w:val="Normal"/>
    <w:uiPriority w:val="39"/>
    <w:semiHidden/>
    <w:unhideWhenUsed/>
    <w:rsid w:val="00154D00"/>
    <w:pPr>
      <w:spacing w:line="240" w:lineRule="auto"/>
      <w:ind w:left="1202"/>
    </w:pPr>
    <w:rPr>
      <w:sz w:val="24"/>
    </w:rPr>
  </w:style>
  <w:style w:type="paragraph" w:styleId="TOC7">
    <w:name w:val="toc 7"/>
    <w:basedOn w:val="OPCParaBase"/>
    <w:next w:val="Normal"/>
    <w:uiPriority w:val="39"/>
    <w:semiHidden/>
    <w:unhideWhenUsed/>
    <w:rsid w:val="00154D00"/>
    <w:pPr>
      <w:spacing w:line="240" w:lineRule="auto"/>
      <w:ind w:left="1440"/>
    </w:pPr>
    <w:rPr>
      <w:sz w:val="24"/>
    </w:rPr>
  </w:style>
  <w:style w:type="paragraph" w:styleId="TOC8">
    <w:name w:val="toc 8"/>
    <w:basedOn w:val="OPCParaBase"/>
    <w:next w:val="Normal"/>
    <w:uiPriority w:val="39"/>
    <w:semiHidden/>
    <w:unhideWhenUsed/>
    <w:rsid w:val="00154D00"/>
    <w:pPr>
      <w:spacing w:line="240" w:lineRule="auto"/>
      <w:ind w:left="1678"/>
    </w:pPr>
    <w:rPr>
      <w:sz w:val="24"/>
    </w:rPr>
  </w:style>
  <w:style w:type="paragraph" w:styleId="TOC9">
    <w:name w:val="toc 9"/>
    <w:basedOn w:val="OPCParaBase"/>
    <w:next w:val="Normal"/>
    <w:uiPriority w:val="39"/>
    <w:unhideWhenUsed/>
    <w:rsid w:val="00154D00"/>
    <w:pPr>
      <w:spacing w:line="240" w:lineRule="auto"/>
      <w:ind w:left="1922"/>
    </w:pPr>
    <w:rPr>
      <w:sz w:val="24"/>
    </w:rPr>
  </w:style>
  <w:style w:type="paragraph" w:customStyle="1" w:styleId="TofSectsGroupHeading">
    <w:name w:val="TofSects(GroupHeading)"/>
    <w:basedOn w:val="OPCParaBase"/>
    <w:next w:val="TofSectsSection"/>
    <w:rsid w:val="00154D00"/>
    <w:pPr>
      <w:keepLines/>
      <w:spacing w:before="240" w:after="120" w:line="240" w:lineRule="auto"/>
      <w:ind w:left="794"/>
    </w:pPr>
    <w:rPr>
      <w:b/>
      <w:kern w:val="28"/>
      <w:sz w:val="20"/>
    </w:rPr>
  </w:style>
  <w:style w:type="paragraph" w:customStyle="1" w:styleId="TofSectsHeading">
    <w:name w:val="TofSects(Heading)"/>
    <w:basedOn w:val="OPCParaBase"/>
    <w:rsid w:val="00154D00"/>
    <w:pPr>
      <w:spacing w:before="240" w:after="120" w:line="240" w:lineRule="auto"/>
    </w:pPr>
    <w:rPr>
      <w:b/>
      <w:sz w:val="24"/>
    </w:rPr>
  </w:style>
  <w:style w:type="paragraph" w:customStyle="1" w:styleId="TofSectsSection">
    <w:name w:val="TofSects(Section)"/>
    <w:basedOn w:val="OPCParaBase"/>
    <w:rsid w:val="00154D00"/>
    <w:pPr>
      <w:keepLines/>
      <w:spacing w:before="40" w:line="240" w:lineRule="auto"/>
      <w:ind w:left="1588" w:hanging="794"/>
    </w:pPr>
    <w:rPr>
      <w:kern w:val="28"/>
      <w:sz w:val="18"/>
    </w:rPr>
  </w:style>
  <w:style w:type="paragraph" w:customStyle="1" w:styleId="TofSectsSubdiv">
    <w:name w:val="TofSects(Subdiv)"/>
    <w:basedOn w:val="OPCParaBase"/>
    <w:rsid w:val="00154D00"/>
    <w:pPr>
      <w:keepLines/>
      <w:spacing w:before="80" w:line="240" w:lineRule="auto"/>
      <w:ind w:left="1588" w:hanging="794"/>
    </w:pPr>
    <w:rPr>
      <w:kern w:val="28"/>
    </w:rPr>
  </w:style>
  <w:style w:type="paragraph" w:customStyle="1" w:styleId="WRStyle">
    <w:name w:val="WR Style"/>
    <w:aliases w:val="WR"/>
    <w:basedOn w:val="OPCParaBase"/>
    <w:rsid w:val="00154D00"/>
    <w:pPr>
      <w:spacing w:before="240" w:line="240" w:lineRule="auto"/>
      <w:ind w:left="284" w:hanging="284"/>
    </w:pPr>
    <w:rPr>
      <w:b/>
      <w:i/>
      <w:kern w:val="28"/>
      <w:sz w:val="24"/>
    </w:rPr>
  </w:style>
  <w:style w:type="paragraph" w:customStyle="1" w:styleId="Body">
    <w:name w:val="Body"/>
    <w:aliases w:val="b"/>
    <w:basedOn w:val="OPCParaBase"/>
    <w:rsid w:val="00154D00"/>
    <w:pPr>
      <w:spacing w:before="240" w:line="240" w:lineRule="auto"/>
    </w:pPr>
    <w:rPr>
      <w:sz w:val="24"/>
    </w:rPr>
  </w:style>
  <w:style w:type="paragraph" w:customStyle="1" w:styleId="BodyNum">
    <w:name w:val="BodyNum"/>
    <w:aliases w:val="b1"/>
    <w:basedOn w:val="OPCParaBase"/>
    <w:rsid w:val="00154D00"/>
    <w:pPr>
      <w:numPr>
        <w:numId w:val="13"/>
      </w:numPr>
      <w:spacing w:before="240" w:line="240" w:lineRule="auto"/>
    </w:pPr>
    <w:rPr>
      <w:sz w:val="24"/>
    </w:rPr>
  </w:style>
  <w:style w:type="paragraph" w:customStyle="1" w:styleId="BodyPara">
    <w:name w:val="BodyPara"/>
    <w:aliases w:val="ba"/>
    <w:basedOn w:val="OPCParaBase"/>
    <w:rsid w:val="00154D00"/>
    <w:pPr>
      <w:numPr>
        <w:ilvl w:val="1"/>
        <w:numId w:val="13"/>
      </w:numPr>
      <w:spacing w:before="240" w:line="240" w:lineRule="auto"/>
    </w:pPr>
    <w:rPr>
      <w:sz w:val="24"/>
    </w:rPr>
  </w:style>
  <w:style w:type="paragraph" w:customStyle="1" w:styleId="BodyParaBullet">
    <w:name w:val="BodyParaBullet"/>
    <w:aliases w:val="bpb"/>
    <w:basedOn w:val="OPCParaBase"/>
    <w:rsid w:val="00154D0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154D00"/>
    <w:pPr>
      <w:numPr>
        <w:ilvl w:val="3"/>
        <w:numId w:val="13"/>
      </w:numPr>
      <w:spacing w:before="240" w:line="240" w:lineRule="auto"/>
    </w:pPr>
    <w:rPr>
      <w:sz w:val="24"/>
    </w:rPr>
  </w:style>
  <w:style w:type="numbering" w:customStyle="1" w:styleId="OPCBodyList">
    <w:name w:val="OPCBodyList"/>
    <w:uiPriority w:val="99"/>
    <w:rsid w:val="00154D00"/>
    <w:pPr>
      <w:numPr>
        <w:numId w:val="13"/>
      </w:numPr>
    </w:pPr>
  </w:style>
  <w:style w:type="paragraph" w:customStyle="1" w:styleId="Head1">
    <w:name w:val="Head 1"/>
    <w:aliases w:val="1"/>
    <w:basedOn w:val="OPCParaBase"/>
    <w:next w:val="BodyNum"/>
    <w:rsid w:val="00154D0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54D0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54D0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54D0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54D0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54D00"/>
    <w:pPr>
      <w:spacing w:before="122" w:line="198" w:lineRule="exact"/>
      <w:ind w:left="2353" w:hanging="709"/>
    </w:pPr>
    <w:rPr>
      <w:sz w:val="18"/>
    </w:rPr>
  </w:style>
  <w:style w:type="paragraph" w:styleId="Footer">
    <w:name w:val="footer"/>
    <w:link w:val="FooterChar"/>
    <w:rsid w:val="00154D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4D00"/>
    <w:rPr>
      <w:rFonts w:eastAsia="Times New Roman" w:cs="Times New Roman"/>
      <w:sz w:val="22"/>
      <w:szCs w:val="24"/>
      <w:lang w:eastAsia="en-AU"/>
    </w:rPr>
  </w:style>
  <w:style w:type="character" w:styleId="PageNumber">
    <w:name w:val="page number"/>
    <w:basedOn w:val="DefaultParagraphFont"/>
    <w:rsid w:val="00154D00"/>
  </w:style>
  <w:style w:type="paragraph" w:styleId="BalloonText">
    <w:name w:val="Balloon Text"/>
    <w:basedOn w:val="Normal"/>
    <w:link w:val="BalloonTextChar"/>
    <w:uiPriority w:val="99"/>
    <w:semiHidden/>
    <w:unhideWhenUsed/>
    <w:rsid w:val="00154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00"/>
    <w:rPr>
      <w:rFonts w:ascii="Tahoma" w:hAnsi="Tahoma" w:cs="Tahoma"/>
      <w:sz w:val="16"/>
      <w:szCs w:val="16"/>
    </w:rPr>
  </w:style>
  <w:style w:type="paragraph" w:customStyle="1" w:styleId="MessShortTitle">
    <w:name w:val="MessShortTitle"/>
    <w:basedOn w:val="Head2"/>
    <w:rsid w:val="00154D00"/>
  </w:style>
  <w:style w:type="character" w:styleId="Hyperlink">
    <w:name w:val="Hyperlink"/>
    <w:uiPriority w:val="99"/>
    <w:rsid w:val="0099781A"/>
    <w:rPr>
      <w:color w:val="0000FF"/>
      <w:u w:val="single"/>
    </w:rPr>
  </w:style>
  <w:style w:type="paragraph" w:customStyle="1" w:styleId="TableHeading">
    <w:name w:val="TableHeading"/>
    <w:aliases w:val="th"/>
    <w:basedOn w:val="OPCParaBase"/>
    <w:next w:val="Tabletext"/>
    <w:rsid w:val="00154D00"/>
    <w:pPr>
      <w:keepNext/>
      <w:spacing w:before="60" w:line="240" w:lineRule="atLeast"/>
    </w:pPr>
    <w:rPr>
      <w:b/>
      <w:sz w:val="20"/>
    </w:rPr>
  </w:style>
  <w:style w:type="paragraph" w:customStyle="1" w:styleId="Issued">
    <w:name w:val="Issued"/>
    <w:basedOn w:val="Body"/>
    <w:rsid w:val="00DD027F"/>
    <w:pPr>
      <w:spacing w:before="120"/>
    </w:pPr>
    <w:rPr>
      <w:b/>
      <w:sz w:val="28"/>
    </w:rPr>
  </w:style>
  <w:style w:type="paragraph" w:customStyle="1" w:styleId="Release">
    <w:name w:val="Release"/>
    <w:basedOn w:val="Body"/>
    <w:rsid w:val="00DD027F"/>
    <w:rPr>
      <w:b/>
    </w:rPr>
  </w:style>
  <w:style w:type="character" w:styleId="FollowedHyperlink">
    <w:name w:val="FollowedHyperlink"/>
    <w:basedOn w:val="DefaultParagraphFont"/>
    <w:uiPriority w:val="99"/>
    <w:semiHidden/>
    <w:unhideWhenUsed/>
    <w:rsid w:val="00231799"/>
    <w:rPr>
      <w:color w:val="800080" w:themeColor="followedHyperlink"/>
      <w:u w:val="single"/>
    </w:rPr>
  </w:style>
  <w:style w:type="paragraph" w:customStyle="1" w:styleId="SOTextNote">
    <w:name w:val="SO TextNote"/>
    <w:aliases w:val="sont"/>
    <w:basedOn w:val="Normal"/>
    <w:qFormat/>
    <w:rsid w:val="00154D00"/>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154D00"/>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154D00"/>
    <w:rPr>
      <w:sz w:val="22"/>
    </w:rPr>
  </w:style>
  <w:style w:type="paragraph" w:customStyle="1" w:styleId="SOHeadItalic">
    <w:name w:val="SO HeadItalic"/>
    <w:aliases w:val="sohi"/>
    <w:basedOn w:val="Normal"/>
    <w:next w:val="Normal"/>
    <w:link w:val="SOHeadItalicChar"/>
    <w:qFormat/>
    <w:rsid w:val="00154D00"/>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154D00"/>
    <w:rPr>
      <w:i/>
      <w:sz w:val="22"/>
    </w:rPr>
  </w:style>
  <w:style w:type="paragraph" w:customStyle="1" w:styleId="SOHeadBold">
    <w:name w:val="SO HeadBold"/>
    <w:aliases w:val="sohb"/>
    <w:basedOn w:val="Normal"/>
    <w:next w:val="Normal"/>
    <w:link w:val="SOHeadBoldChar"/>
    <w:qFormat/>
    <w:rsid w:val="00154D00"/>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154D00"/>
    <w:rPr>
      <w:b/>
      <w:sz w:val="22"/>
    </w:rPr>
  </w:style>
  <w:style w:type="paragraph" w:customStyle="1" w:styleId="SOBulletNote">
    <w:name w:val="SO BulletNote"/>
    <w:aliases w:val="sonb"/>
    <w:basedOn w:val="SOTextNote"/>
    <w:link w:val="SOBulletNoteChar"/>
    <w:qFormat/>
    <w:rsid w:val="00154D00"/>
    <w:pPr>
      <w:tabs>
        <w:tab w:val="left" w:pos="1560"/>
      </w:tabs>
      <w:ind w:left="2268" w:hanging="1134"/>
    </w:pPr>
  </w:style>
  <w:style w:type="character" w:customStyle="1" w:styleId="SOBulletNoteChar">
    <w:name w:val="SO BulletNote Char"/>
    <w:aliases w:val="sonb Char"/>
    <w:basedOn w:val="DefaultParagraphFont"/>
    <w:link w:val="SOBulletNote"/>
    <w:rsid w:val="00154D00"/>
    <w:rPr>
      <w:sz w:val="18"/>
    </w:rPr>
  </w:style>
  <w:style w:type="paragraph" w:customStyle="1" w:styleId="SOBullet">
    <w:name w:val="SO Bullet"/>
    <w:aliases w:val="sotb"/>
    <w:basedOn w:val="Normal"/>
    <w:link w:val="SOBulletChar"/>
    <w:qFormat/>
    <w:rsid w:val="00154D00"/>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154D00"/>
    <w:rPr>
      <w:sz w:val="22"/>
    </w:rPr>
  </w:style>
  <w:style w:type="paragraph" w:customStyle="1" w:styleId="SubPartCASA">
    <w:name w:val="SubPart(CASA)"/>
    <w:aliases w:val="csp"/>
    <w:basedOn w:val="OPCParaBase"/>
    <w:next w:val="ActHead3"/>
    <w:rsid w:val="00154D00"/>
    <w:pPr>
      <w:keepNext/>
      <w:keepLines/>
      <w:spacing w:before="280"/>
      <w:ind w:left="1134" w:hanging="1134"/>
      <w:outlineLvl w:val="1"/>
    </w:pPr>
    <w:rPr>
      <w:b/>
      <w:kern w:val="28"/>
      <w:sz w:val="32"/>
    </w:rPr>
  </w:style>
  <w:style w:type="paragraph" w:customStyle="1" w:styleId="SundryBoxBullet">
    <w:name w:val="SundryBoxBullet"/>
    <w:aliases w:val="sbb"/>
    <w:basedOn w:val="Normal"/>
    <w:rsid w:val="00154D00"/>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154D00"/>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54D00"/>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54D00"/>
  </w:style>
  <w:style w:type="paragraph" w:customStyle="1" w:styleId="OPCParaBase">
    <w:name w:val="OPCParaBase"/>
    <w:qFormat/>
    <w:rsid w:val="00154D00"/>
    <w:pPr>
      <w:spacing w:line="260" w:lineRule="atLeast"/>
    </w:pPr>
    <w:rPr>
      <w:rFonts w:eastAsia="Times New Roman" w:cs="Times New Roman"/>
      <w:sz w:val="22"/>
      <w:lang w:eastAsia="en-AU"/>
    </w:rPr>
  </w:style>
  <w:style w:type="paragraph" w:customStyle="1" w:styleId="ShortT">
    <w:name w:val="ShortT"/>
    <w:basedOn w:val="OPCParaBase"/>
    <w:next w:val="Normal"/>
    <w:qFormat/>
    <w:rsid w:val="00154D00"/>
    <w:pPr>
      <w:spacing w:line="240" w:lineRule="auto"/>
    </w:pPr>
    <w:rPr>
      <w:b/>
      <w:sz w:val="40"/>
    </w:rPr>
  </w:style>
  <w:style w:type="paragraph" w:customStyle="1" w:styleId="ActHead1">
    <w:name w:val="ActHead 1"/>
    <w:aliases w:val="c"/>
    <w:basedOn w:val="OPCParaBase"/>
    <w:next w:val="Normal"/>
    <w:qFormat/>
    <w:rsid w:val="00154D0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54D0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54D0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54D0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54D0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54D0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54D0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54D0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54D0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54D00"/>
  </w:style>
  <w:style w:type="paragraph" w:customStyle="1" w:styleId="Blocks">
    <w:name w:val="Blocks"/>
    <w:aliases w:val="bb"/>
    <w:basedOn w:val="OPCParaBase"/>
    <w:qFormat/>
    <w:rsid w:val="00154D00"/>
    <w:pPr>
      <w:spacing w:line="240" w:lineRule="auto"/>
    </w:pPr>
    <w:rPr>
      <w:sz w:val="24"/>
    </w:rPr>
  </w:style>
  <w:style w:type="paragraph" w:customStyle="1" w:styleId="BoxText">
    <w:name w:val="BoxText"/>
    <w:aliases w:val="bt"/>
    <w:basedOn w:val="OPCParaBase"/>
    <w:rsid w:val="00154D0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54D00"/>
    <w:rPr>
      <w:b/>
    </w:rPr>
  </w:style>
  <w:style w:type="paragraph" w:customStyle="1" w:styleId="BoxHeadItalic">
    <w:name w:val="BoxHeadItalic"/>
    <w:aliases w:val="bhi"/>
    <w:basedOn w:val="BoxText"/>
    <w:next w:val="Normal"/>
    <w:qFormat/>
    <w:rsid w:val="00154D00"/>
    <w:rPr>
      <w:i/>
    </w:rPr>
  </w:style>
  <w:style w:type="paragraph" w:customStyle="1" w:styleId="BoxList">
    <w:name w:val="BoxList"/>
    <w:aliases w:val="bl"/>
    <w:basedOn w:val="BoxText"/>
    <w:qFormat/>
    <w:rsid w:val="00154D00"/>
    <w:pPr>
      <w:ind w:left="1559" w:hanging="425"/>
    </w:pPr>
  </w:style>
  <w:style w:type="paragraph" w:customStyle="1" w:styleId="BoxNote">
    <w:name w:val="BoxNote"/>
    <w:aliases w:val="bn"/>
    <w:basedOn w:val="BoxText"/>
    <w:qFormat/>
    <w:rsid w:val="00154D00"/>
    <w:pPr>
      <w:tabs>
        <w:tab w:val="left" w:pos="1985"/>
      </w:tabs>
      <w:spacing w:before="122" w:line="198" w:lineRule="exact"/>
      <w:ind w:left="2948" w:hanging="1814"/>
    </w:pPr>
    <w:rPr>
      <w:sz w:val="18"/>
    </w:rPr>
  </w:style>
  <w:style w:type="paragraph" w:customStyle="1" w:styleId="BoxPara">
    <w:name w:val="BoxPara"/>
    <w:aliases w:val="bp"/>
    <w:basedOn w:val="BoxText"/>
    <w:qFormat/>
    <w:rsid w:val="00154D00"/>
    <w:pPr>
      <w:tabs>
        <w:tab w:val="right" w:pos="2268"/>
      </w:tabs>
      <w:ind w:left="2552" w:hanging="1418"/>
    </w:pPr>
  </w:style>
  <w:style w:type="paragraph" w:customStyle="1" w:styleId="BoxStep">
    <w:name w:val="BoxStep"/>
    <w:aliases w:val="bs"/>
    <w:basedOn w:val="BoxText"/>
    <w:qFormat/>
    <w:rsid w:val="00154D00"/>
    <w:pPr>
      <w:ind w:left="1985" w:hanging="851"/>
    </w:pPr>
  </w:style>
  <w:style w:type="character" w:customStyle="1" w:styleId="CharAmPartNo">
    <w:name w:val="CharAmPartNo"/>
    <w:basedOn w:val="OPCCharBase"/>
    <w:uiPriority w:val="1"/>
    <w:qFormat/>
    <w:rsid w:val="00154D00"/>
  </w:style>
  <w:style w:type="character" w:customStyle="1" w:styleId="CharAmPartText">
    <w:name w:val="CharAmPartText"/>
    <w:basedOn w:val="OPCCharBase"/>
    <w:uiPriority w:val="1"/>
    <w:qFormat/>
    <w:rsid w:val="00154D00"/>
  </w:style>
  <w:style w:type="character" w:customStyle="1" w:styleId="CharAmSchNo">
    <w:name w:val="CharAmSchNo"/>
    <w:basedOn w:val="OPCCharBase"/>
    <w:uiPriority w:val="1"/>
    <w:qFormat/>
    <w:rsid w:val="00154D00"/>
  </w:style>
  <w:style w:type="character" w:customStyle="1" w:styleId="CharAmSchText">
    <w:name w:val="CharAmSchText"/>
    <w:basedOn w:val="OPCCharBase"/>
    <w:uiPriority w:val="1"/>
    <w:qFormat/>
    <w:rsid w:val="00154D00"/>
  </w:style>
  <w:style w:type="character" w:customStyle="1" w:styleId="CharBoldItalic">
    <w:name w:val="CharBoldItalic"/>
    <w:basedOn w:val="OPCCharBase"/>
    <w:uiPriority w:val="1"/>
    <w:qFormat/>
    <w:rsid w:val="00154D00"/>
    <w:rPr>
      <w:b/>
      <w:i/>
    </w:rPr>
  </w:style>
  <w:style w:type="character" w:customStyle="1" w:styleId="CharChapNo">
    <w:name w:val="CharChapNo"/>
    <w:basedOn w:val="OPCCharBase"/>
    <w:uiPriority w:val="1"/>
    <w:qFormat/>
    <w:rsid w:val="00154D00"/>
  </w:style>
  <w:style w:type="character" w:customStyle="1" w:styleId="CharChapText">
    <w:name w:val="CharChapText"/>
    <w:basedOn w:val="OPCCharBase"/>
    <w:uiPriority w:val="1"/>
    <w:qFormat/>
    <w:rsid w:val="00154D00"/>
  </w:style>
  <w:style w:type="character" w:customStyle="1" w:styleId="CharDivNo">
    <w:name w:val="CharDivNo"/>
    <w:basedOn w:val="OPCCharBase"/>
    <w:uiPriority w:val="1"/>
    <w:qFormat/>
    <w:rsid w:val="00154D00"/>
  </w:style>
  <w:style w:type="character" w:customStyle="1" w:styleId="CharDivText">
    <w:name w:val="CharDivText"/>
    <w:basedOn w:val="OPCCharBase"/>
    <w:uiPriority w:val="1"/>
    <w:qFormat/>
    <w:rsid w:val="00154D00"/>
  </w:style>
  <w:style w:type="character" w:customStyle="1" w:styleId="CharItalic">
    <w:name w:val="CharItalic"/>
    <w:basedOn w:val="OPCCharBase"/>
    <w:uiPriority w:val="1"/>
    <w:qFormat/>
    <w:rsid w:val="00154D00"/>
    <w:rPr>
      <w:i/>
    </w:rPr>
  </w:style>
  <w:style w:type="character" w:customStyle="1" w:styleId="CharPartNo">
    <w:name w:val="CharPartNo"/>
    <w:basedOn w:val="OPCCharBase"/>
    <w:uiPriority w:val="1"/>
    <w:qFormat/>
    <w:rsid w:val="00154D00"/>
  </w:style>
  <w:style w:type="character" w:customStyle="1" w:styleId="CharPartText">
    <w:name w:val="CharPartText"/>
    <w:basedOn w:val="OPCCharBase"/>
    <w:uiPriority w:val="1"/>
    <w:qFormat/>
    <w:rsid w:val="00154D00"/>
  </w:style>
  <w:style w:type="character" w:customStyle="1" w:styleId="CharSectno">
    <w:name w:val="CharSectno"/>
    <w:basedOn w:val="OPCCharBase"/>
    <w:uiPriority w:val="1"/>
    <w:qFormat/>
    <w:rsid w:val="00154D00"/>
  </w:style>
  <w:style w:type="character" w:customStyle="1" w:styleId="CharSubdNo">
    <w:name w:val="CharSubdNo"/>
    <w:basedOn w:val="OPCCharBase"/>
    <w:uiPriority w:val="1"/>
    <w:qFormat/>
    <w:rsid w:val="00154D00"/>
  </w:style>
  <w:style w:type="character" w:customStyle="1" w:styleId="CharSubdText">
    <w:name w:val="CharSubdText"/>
    <w:basedOn w:val="OPCCharBase"/>
    <w:uiPriority w:val="1"/>
    <w:qFormat/>
    <w:rsid w:val="00154D00"/>
  </w:style>
  <w:style w:type="paragraph" w:customStyle="1" w:styleId="CTA--">
    <w:name w:val="CTA --"/>
    <w:basedOn w:val="OPCParaBase"/>
    <w:next w:val="Normal"/>
    <w:rsid w:val="00154D00"/>
    <w:pPr>
      <w:spacing w:before="60" w:line="240" w:lineRule="atLeast"/>
      <w:ind w:left="142" w:hanging="142"/>
    </w:pPr>
    <w:rPr>
      <w:sz w:val="20"/>
    </w:rPr>
  </w:style>
  <w:style w:type="paragraph" w:customStyle="1" w:styleId="CTA-">
    <w:name w:val="CTA -"/>
    <w:basedOn w:val="OPCParaBase"/>
    <w:rsid w:val="00154D00"/>
    <w:pPr>
      <w:spacing w:before="60" w:line="240" w:lineRule="atLeast"/>
      <w:ind w:left="85" w:hanging="85"/>
    </w:pPr>
    <w:rPr>
      <w:sz w:val="20"/>
    </w:rPr>
  </w:style>
  <w:style w:type="paragraph" w:customStyle="1" w:styleId="CTA---">
    <w:name w:val="CTA ---"/>
    <w:basedOn w:val="OPCParaBase"/>
    <w:next w:val="Normal"/>
    <w:rsid w:val="00154D00"/>
    <w:pPr>
      <w:spacing w:before="60" w:line="240" w:lineRule="atLeast"/>
      <w:ind w:left="198" w:hanging="198"/>
    </w:pPr>
    <w:rPr>
      <w:sz w:val="20"/>
    </w:rPr>
  </w:style>
  <w:style w:type="paragraph" w:customStyle="1" w:styleId="CTA----">
    <w:name w:val="CTA ----"/>
    <w:basedOn w:val="OPCParaBase"/>
    <w:next w:val="Normal"/>
    <w:rsid w:val="00154D00"/>
    <w:pPr>
      <w:spacing w:before="60" w:line="240" w:lineRule="atLeast"/>
      <w:ind w:left="255" w:hanging="255"/>
    </w:pPr>
    <w:rPr>
      <w:sz w:val="20"/>
    </w:rPr>
  </w:style>
  <w:style w:type="paragraph" w:customStyle="1" w:styleId="CTA1a">
    <w:name w:val="CTA 1(a)"/>
    <w:basedOn w:val="OPCParaBase"/>
    <w:rsid w:val="00154D00"/>
    <w:pPr>
      <w:tabs>
        <w:tab w:val="right" w:pos="414"/>
      </w:tabs>
      <w:spacing w:before="40" w:line="240" w:lineRule="atLeast"/>
      <w:ind w:left="675" w:hanging="675"/>
    </w:pPr>
    <w:rPr>
      <w:sz w:val="20"/>
    </w:rPr>
  </w:style>
  <w:style w:type="paragraph" w:customStyle="1" w:styleId="CTA1ai">
    <w:name w:val="CTA 1(a)(i)"/>
    <w:basedOn w:val="OPCParaBase"/>
    <w:rsid w:val="00154D00"/>
    <w:pPr>
      <w:tabs>
        <w:tab w:val="right" w:pos="1004"/>
      </w:tabs>
      <w:spacing w:before="40" w:line="240" w:lineRule="atLeast"/>
      <w:ind w:left="1253" w:hanging="1253"/>
    </w:pPr>
    <w:rPr>
      <w:sz w:val="20"/>
    </w:rPr>
  </w:style>
  <w:style w:type="paragraph" w:customStyle="1" w:styleId="CTA2a">
    <w:name w:val="CTA 2(a)"/>
    <w:basedOn w:val="OPCParaBase"/>
    <w:rsid w:val="00154D00"/>
    <w:pPr>
      <w:tabs>
        <w:tab w:val="right" w:pos="482"/>
      </w:tabs>
      <w:spacing w:before="40" w:line="240" w:lineRule="atLeast"/>
      <w:ind w:left="748" w:hanging="748"/>
    </w:pPr>
    <w:rPr>
      <w:sz w:val="20"/>
    </w:rPr>
  </w:style>
  <w:style w:type="paragraph" w:customStyle="1" w:styleId="CTA2ai">
    <w:name w:val="CTA 2(a)(i)"/>
    <w:basedOn w:val="OPCParaBase"/>
    <w:rsid w:val="00154D00"/>
    <w:pPr>
      <w:tabs>
        <w:tab w:val="right" w:pos="1089"/>
      </w:tabs>
      <w:spacing w:before="40" w:line="240" w:lineRule="atLeast"/>
      <w:ind w:left="1327" w:hanging="1327"/>
    </w:pPr>
    <w:rPr>
      <w:sz w:val="20"/>
    </w:rPr>
  </w:style>
  <w:style w:type="paragraph" w:customStyle="1" w:styleId="CTA3a">
    <w:name w:val="CTA 3(a)"/>
    <w:basedOn w:val="OPCParaBase"/>
    <w:rsid w:val="00154D00"/>
    <w:pPr>
      <w:tabs>
        <w:tab w:val="right" w:pos="556"/>
      </w:tabs>
      <w:spacing w:before="40" w:line="240" w:lineRule="atLeast"/>
      <w:ind w:left="805" w:hanging="805"/>
    </w:pPr>
    <w:rPr>
      <w:sz w:val="20"/>
    </w:rPr>
  </w:style>
  <w:style w:type="paragraph" w:customStyle="1" w:styleId="CTA3ai">
    <w:name w:val="CTA 3(a)(i)"/>
    <w:basedOn w:val="OPCParaBase"/>
    <w:rsid w:val="00154D00"/>
    <w:pPr>
      <w:tabs>
        <w:tab w:val="right" w:pos="1140"/>
      </w:tabs>
      <w:spacing w:before="40" w:line="240" w:lineRule="atLeast"/>
      <w:ind w:left="1361" w:hanging="1361"/>
    </w:pPr>
    <w:rPr>
      <w:sz w:val="20"/>
    </w:rPr>
  </w:style>
  <w:style w:type="paragraph" w:customStyle="1" w:styleId="CTA4a">
    <w:name w:val="CTA 4(a)"/>
    <w:basedOn w:val="OPCParaBase"/>
    <w:rsid w:val="00154D00"/>
    <w:pPr>
      <w:tabs>
        <w:tab w:val="right" w:pos="624"/>
      </w:tabs>
      <w:spacing w:before="40" w:line="240" w:lineRule="atLeast"/>
      <w:ind w:left="873" w:hanging="873"/>
    </w:pPr>
    <w:rPr>
      <w:sz w:val="20"/>
    </w:rPr>
  </w:style>
  <w:style w:type="paragraph" w:customStyle="1" w:styleId="CTA4ai">
    <w:name w:val="CTA 4(a)(i)"/>
    <w:basedOn w:val="OPCParaBase"/>
    <w:rsid w:val="00154D00"/>
    <w:pPr>
      <w:tabs>
        <w:tab w:val="right" w:pos="1213"/>
      </w:tabs>
      <w:spacing w:before="40" w:line="240" w:lineRule="atLeast"/>
      <w:ind w:left="1452" w:hanging="1452"/>
    </w:pPr>
    <w:rPr>
      <w:sz w:val="20"/>
    </w:rPr>
  </w:style>
  <w:style w:type="paragraph" w:customStyle="1" w:styleId="CTACAPS">
    <w:name w:val="CTA CAPS"/>
    <w:basedOn w:val="OPCParaBase"/>
    <w:rsid w:val="00154D00"/>
    <w:pPr>
      <w:spacing w:before="60" w:line="240" w:lineRule="atLeast"/>
    </w:pPr>
    <w:rPr>
      <w:sz w:val="20"/>
    </w:rPr>
  </w:style>
  <w:style w:type="paragraph" w:customStyle="1" w:styleId="CTAright">
    <w:name w:val="CTA right"/>
    <w:basedOn w:val="OPCParaBase"/>
    <w:rsid w:val="00154D00"/>
    <w:pPr>
      <w:spacing w:before="60" w:line="240" w:lineRule="auto"/>
      <w:jc w:val="right"/>
    </w:pPr>
    <w:rPr>
      <w:sz w:val="20"/>
    </w:rPr>
  </w:style>
  <w:style w:type="paragraph" w:customStyle="1" w:styleId="subsection">
    <w:name w:val="subsection"/>
    <w:aliases w:val="ss"/>
    <w:basedOn w:val="OPCParaBase"/>
    <w:rsid w:val="00154D00"/>
    <w:pPr>
      <w:tabs>
        <w:tab w:val="right" w:pos="1021"/>
      </w:tabs>
      <w:spacing w:before="180" w:line="240" w:lineRule="auto"/>
      <w:ind w:left="1134" w:hanging="1134"/>
    </w:pPr>
  </w:style>
  <w:style w:type="paragraph" w:customStyle="1" w:styleId="Definition">
    <w:name w:val="Definition"/>
    <w:aliases w:val="dd"/>
    <w:basedOn w:val="OPCParaBase"/>
    <w:rsid w:val="00154D00"/>
    <w:pPr>
      <w:spacing w:before="180" w:line="240" w:lineRule="auto"/>
      <w:ind w:left="1134"/>
    </w:pPr>
  </w:style>
  <w:style w:type="paragraph" w:customStyle="1" w:styleId="ETAsubitem">
    <w:name w:val="ETA(subitem)"/>
    <w:basedOn w:val="OPCParaBase"/>
    <w:rsid w:val="00154D00"/>
    <w:pPr>
      <w:tabs>
        <w:tab w:val="right" w:pos="340"/>
      </w:tabs>
      <w:spacing w:before="60" w:line="240" w:lineRule="auto"/>
      <w:ind w:left="454" w:hanging="454"/>
    </w:pPr>
    <w:rPr>
      <w:sz w:val="20"/>
    </w:rPr>
  </w:style>
  <w:style w:type="paragraph" w:customStyle="1" w:styleId="ETApara">
    <w:name w:val="ETA(para)"/>
    <w:basedOn w:val="OPCParaBase"/>
    <w:rsid w:val="00154D00"/>
    <w:pPr>
      <w:tabs>
        <w:tab w:val="right" w:pos="754"/>
      </w:tabs>
      <w:spacing w:before="60" w:line="240" w:lineRule="auto"/>
      <w:ind w:left="828" w:hanging="828"/>
    </w:pPr>
    <w:rPr>
      <w:sz w:val="20"/>
    </w:rPr>
  </w:style>
  <w:style w:type="paragraph" w:customStyle="1" w:styleId="ETAsubpara">
    <w:name w:val="ETA(subpara)"/>
    <w:basedOn w:val="OPCParaBase"/>
    <w:rsid w:val="00154D00"/>
    <w:pPr>
      <w:tabs>
        <w:tab w:val="right" w:pos="1083"/>
      </w:tabs>
      <w:spacing w:before="60" w:line="240" w:lineRule="auto"/>
      <w:ind w:left="1191" w:hanging="1191"/>
    </w:pPr>
    <w:rPr>
      <w:sz w:val="20"/>
    </w:rPr>
  </w:style>
  <w:style w:type="paragraph" w:customStyle="1" w:styleId="ETAsub-subpara">
    <w:name w:val="ETA(sub-subpara)"/>
    <w:basedOn w:val="OPCParaBase"/>
    <w:rsid w:val="00154D00"/>
    <w:pPr>
      <w:tabs>
        <w:tab w:val="right" w:pos="1412"/>
      </w:tabs>
      <w:spacing w:before="60" w:line="240" w:lineRule="auto"/>
      <w:ind w:left="1525" w:hanging="1525"/>
    </w:pPr>
    <w:rPr>
      <w:sz w:val="20"/>
    </w:rPr>
  </w:style>
  <w:style w:type="paragraph" w:customStyle="1" w:styleId="Formula">
    <w:name w:val="Formula"/>
    <w:basedOn w:val="OPCParaBase"/>
    <w:rsid w:val="00154D00"/>
    <w:pPr>
      <w:spacing w:line="240" w:lineRule="auto"/>
      <w:ind w:left="1134"/>
    </w:pPr>
    <w:rPr>
      <w:sz w:val="20"/>
    </w:rPr>
  </w:style>
  <w:style w:type="paragraph" w:styleId="Header">
    <w:name w:val="header"/>
    <w:basedOn w:val="OPCParaBase"/>
    <w:link w:val="HeaderChar"/>
    <w:unhideWhenUsed/>
    <w:rsid w:val="00154D0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54D00"/>
    <w:rPr>
      <w:rFonts w:eastAsia="Times New Roman" w:cs="Times New Roman"/>
      <w:sz w:val="16"/>
      <w:lang w:eastAsia="en-AU"/>
    </w:rPr>
  </w:style>
  <w:style w:type="paragraph" w:customStyle="1" w:styleId="House">
    <w:name w:val="House"/>
    <w:basedOn w:val="OPCParaBase"/>
    <w:rsid w:val="00154D00"/>
    <w:pPr>
      <w:spacing w:line="240" w:lineRule="auto"/>
    </w:pPr>
    <w:rPr>
      <w:sz w:val="28"/>
    </w:rPr>
  </w:style>
  <w:style w:type="paragraph" w:customStyle="1" w:styleId="Item">
    <w:name w:val="Item"/>
    <w:aliases w:val="i"/>
    <w:basedOn w:val="OPCParaBase"/>
    <w:next w:val="ItemHead"/>
    <w:rsid w:val="00154D00"/>
    <w:pPr>
      <w:keepLines/>
      <w:spacing w:before="80" w:line="240" w:lineRule="auto"/>
      <w:ind w:left="709"/>
    </w:pPr>
  </w:style>
  <w:style w:type="paragraph" w:customStyle="1" w:styleId="ItemHead">
    <w:name w:val="ItemHead"/>
    <w:aliases w:val="ih"/>
    <w:basedOn w:val="OPCParaBase"/>
    <w:next w:val="Item"/>
    <w:rsid w:val="00154D00"/>
    <w:pPr>
      <w:keepLines/>
      <w:spacing w:before="220" w:line="240" w:lineRule="auto"/>
      <w:ind w:left="709" w:hanging="709"/>
    </w:pPr>
    <w:rPr>
      <w:rFonts w:ascii="Arial" w:hAnsi="Arial"/>
      <w:b/>
      <w:kern w:val="28"/>
      <w:sz w:val="24"/>
    </w:rPr>
  </w:style>
  <w:style w:type="paragraph" w:customStyle="1" w:styleId="LongT">
    <w:name w:val="LongT"/>
    <w:basedOn w:val="OPCParaBase"/>
    <w:rsid w:val="00154D00"/>
    <w:pPr>
      <w:spacing w:line="240" w:lineRule="auto"/>
    </w:pPr>
    <w:rPr>
      <w:b/>
      <w:sz w:val="32"/>
    </w:rPr>
  </w:style>
  <w:style w:type="paragraph" w:customStyle="1" w:styleId="notedraft">
    <w:name w:val="note(draft)"/>
    <w:aliases w:val="nd"/>
    <w:basedOn w:val="OPCParaBase"/>
    <w:rsid w:val="00154D00"/>
    <w:pPr>
      <w:spacing w:before="240" w:line="240" w:lineRule="auto"/>
      <w:ind w:left="284" w:hanging="284"/>
    </w:pPr>
    <w:rPr>
      <w:i/>
      <w:sz w:val="24"/>
    </w:rPr>
  </w:style>
  <w:style w:type="paragraph" w:customStyle="1" w:styleId="notemargin">
    <w:name w:val="note(margin)"/>
    <w:aliases w:val="nm"/>
    <w:basedOn w:val="OPCParaBase"/>
    <w:rsid w:val="00154D00"/>
    <w:pPr>
      <w:tabs>
        <w:tab w:val="left" w:pos="709"/>
      </w:tabs>
      <w:spacing w:before="122" w:line="198" w:lineRule="exact"/>
      <w:ind w:left="709" w:hanging="709"/>
    </w:pPr>
    <w:rPr>
      <w:sz w:val="18"/>
    </w:rPr>
  </w:style>
  <w:style w:type="paragraph" w:customStyle="1" w:styleId="notepara">
    <w:name w:val="note(para)"/>
    <w:aliases w:val="na"/>
    <w:basedOn w:val="OPCParaBase"/>
    <w:rsid w:val="00154D00"/>
    <w:pPr>
      <w:spacing w:before="40" w:line="198" w:lineRule="exact"/>
      <w:ind w:left="2354" w:hanging="369"/>
    </w:pPr>
    <w:rPr>
      <w:sz w:val="18"/>
    </w:rPr>
  </w:style>
  <w:style w:type="paragraph" w:customStyle="1" w:styleId="noteParlAmend">
    <w:name w:val="note(ParlAmend)"/>
    <w:aliases w:val="npp"/>
    <w:basedOn w:val="OPCParaBase"/>
    <w:next w:val="ParlAmend"/>
    <w:rsid w:val="00154D00"/>
    <w:pPr>
      <w:spacing w:line="240" w:lineRule="auto"/>
      <w:jc w:val="right"/>
    </w:pPr>
    <w:rPr>
      <w:rFonts w:ascii="Arial" w:hAnsi="Arial"/>
      <w:b/>
      <w:i/>
    </w:rPr>
  </w:style>
  <w:style w:type="paragraph" w:customStyle="1" w:styleId="notetext">
    <w:name w:val="note(text)"/>
    <w:aliases w:val="n"/>
    <w:basedOn w:val="OPCParaBase"/>
    <w:rsid w:val="00154D00"/>
    <w:pPr>
      <w:spacing w:before="122" w:line="240" w:lineRule="auto"/>
      <w:ind w:left="1985" w:hanging="851"/>
    </w:pPr>
    <w:rPr>
      <w:sz w:val="18"/>
    </w:rPr>
  </w:style>
  <w:style w:type="paragraph" w:customStyle="1" w:styleId="Page1">
    <w:name w:val="Page1"/>
    <w:basedOn w:val="OPCParaBase"/>
    <w:rsid w:val="00154D00"/>
    <w:pPr>
      <w:spacing w:before="5600" w:line="240" w:lineRule="auto"/>
    </w:pPr>
    <w:rPr>
      <w:b/>
      <w:sz w:val="32"/>
    </w:rPr>
  </w:style>
  <w:style w:type="paragraph" w:customStyle="1" w:styleId="PageBreak">
    <w:name w:val="PageBreak"/>
    <w:aliases w:val="pb"/>
    <w:basedOn w:val="OPCParaBase"/>
    <w:rsid w:val="00154D00"/>
    <w:pPr>
      <w:spacing w:line="240" w:lineRule="auto"/>
    </w:pPr>
    <w:rPr>
      <w:sz w:val="10"/>
    </w:rPr>
  </w:style>
  <w:style w:type="paragraph" w:customStyle="1" w:styleId="paragraphsub">
    <w:name w:val="paragraph(sub)"/>
    <w:aliases w:val="aa"/>
    <w:basedOn w:val="OPCParaBase"/>
    <w:rsid w:val="00154D00"/>
    <w:pPr>
      <w:tabs>
        <w:tab w:val="right" w:pos="1985"/>
      </w:tabs>
      <w:spacing w:before="40" w:line="240" w:lineRule="auto"/>
      <w:ind w:left="2098" w:hanging="2098"/>
    </w:pPr>
  </w:style>
  <w:style w:type="paragraph" w:customStyle="1" w:styleId="paragraphsub-sub">
    <w:name w:val="paragraph(sub-sub)"/>
    <w:aliases w:val="aaa"/>
    <w:basedOn w:val="OPCParaBase"/>
    <w:rsid w:val="00154D00"/>
    <w:pPr>
      <w:tabs>
        <w:tab w:val="right" w:pos="2722"/>
      </w:tabs>
      <w:spacing w:before="40" w:line="240" w:lineRule="auto"/>
      <w:ind w:left="2835" w:hanging="2835"/>
    </w:pPr>
  </w:style>
  <w:style w:type="paragraph" w:customStyle="1" w:styleId="paragraph">
    <w:name w:val="paragraph"/>
    <w:aliases w:val="a"/>
    <w:basedOn w:val="OPCParaBase"/>
    <w:rsid w:val="00154D00"/>
    <w:pPr>
      <w:tabs>
        <w:tab w:val="right" w:pos="1531"/>
      </w:tabs>
      <w:spacing w:before="40" w:line="240" w:lineRule="auto"/>
      <w:ind w:left="1644" w:hanging="1644"/>
    </w:pPr>
  </w:style>
  <w:style w:type="paragraph" w:customStyle="1" w:styleId="ParlAmend">
    <w:name w:val="ParlAmend"/>
    <w:aliases w:val="pp"/>
    <w:basedOn w:val="OPCParaBase"/>
    <w:rsid w:val="00154D00"/>
    <w:pPr>
      <w:spacing w:before="240" w:line="240" w:lineRule="atLeast"/>
      <w:ind w:hanging="567"/>
    </w:pPr>
    <w:rPr>
      <w:sz w:val="24"/>
    </w:rPr>
  </w:style>
  <w:style w:type="paragraph" w:customStyle="1" w:styleId="Penalty">
    <w:name w:val="Penalty"/>
    <w:basedOn w:val="OPCParaBase"/>
    <w:rsid w:val="00154D00"/>
    <w:pPr>
      <w:tabs>
        <w:tab w:val="left" w:pos="2977"/>
      </w:tabs>
      <w:spacing w:before="180" w:line="240" w:lineRule="auto"/>
      <w:ind w:left="1985" w:hanging="851"/>
    </w:pPr>
  </w:style>
  <w:style w:type="paragraph" w:customStyle="1" w:styleId="Portfolio">
    <w:name w:val="Portfolio"/>
    <w:basedOn w:val="OPCParaBase"/>
    <w:rsid w:val="00154D00"/>
    <w:pPr>
      <w:spacing w:line="240" w:lineRule="auto"/>
    </w:pPr>
    <w:rPr>
      <w:i/>
      <w:sz w:val="20"/>
    </w:rPr>
  </w:style>
  <w:style w:type="paragraph" w:customStyle="1" w:styleId="Preamble">
    <w:name w:val="Preamble"/>
    <w:basedOn w:val="OPCParaBase"/>
    <w:next w:val="Normal"/>
    <w:rsid w:val="00154D0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54D00"/>
    <w:pPr>
      <w:spacing w:line="240" w:lineRule="auto"/>
    </w:pPr>
    <w:rPr>
      <w:i/>
      <w:sz w:val="20"/>
    </w:rPr>
  </w:style>
  <w:style w:type="paragraph" w:customStyle="1" w:styleId="Session">
    <w:name w:val="Session"/>
    <w:basedOn w:val="OPCParaBase"/>
    <w:rsid w:val="00154D00"/>
    <w:pPr>
      <w:spacing w:line="240" w:lineRule="auto"/>
    </w:pPr>
    <w:rPr>
      <w:sz w:val="28"/>
    </w:rPr>
  </w:style>
  <w:style w:type="paragraph" w:customStyle="1" w:styleId="Sponsor">
    <w:name w:val="Sponsor"/>
    <w:basedOn w:val="OPCParaBase"/>
    <w:rsid w:val="00154D00"/>
    <w:pPr>
      <w:spacing w:line="240" w:lineRule="auto"/>
    </w:pPr>
    <w:rPr>
      <w:i/>
    </w:rPr>
  </w:style>
  <w:style w:type="paragraph" w:customStyle="1" w:styleId="Subitem">
    <w:name w:val="Subitem"/>
    <w:aliases w:val="iss"/>
    <w:basedOn w:val="OPCParaBase"/>
    <w:rsid w:val="00154D00"/>
    <w:pPr>
      <w:spacing w:before="180" w:line="240" w:lineRule="auto"/>
      <w:ind w:left="709" w:hanging="709"/>
    </w:pPr>
  </w:style>
  <w:style w:type="paragraph" w:customStyle="1" w:styleId="SubitemHead">
    <w:name w:val="SubitemHead"/>
    <w:aliases w:val="issh"/>
    <w:basedOn w:val="OPCParaBase"/>
    <w:rsid w:val="00154D0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54D00"/>
    <w:pPr>
      <w:spacing w:before="40" w:line="240" w:lineRule="auto"/>
      <w:ind w:left="1134"/>
    </w:pPr>
  </w:style>
  <w:style w:type="paragraph" w:customStyle="1" w:styleId="SubsectionHead">
    <w:name w:val="SubsectionHead"/>
    <w:aliases w:val="ssh"/>
    <w:basedOn w:val="OPCParaBase"/>
    <w:next w:val="subsection"/>
    <w:rsid w:val="00154D00"/>
    <w:pPr>
      <w:keepNext/>
      <w:keepLines/>
      <w:spacing w:before="240" w:line="240" w:lineRule="auto"/>
      <w:ind w:left="1134"/>
    </w:pPr>
    <w:rPr>
      <w:i/>
    </w:rPr>
  </w:style>
  <w:style w:type="paragraph" w:customStyle="1" w:styleId="Tablea">
    <w:name w:val="Table(a)"/>
    <w:aliases w:val="ta"/>
    <w:basedOn w:val="OPCParaBase"/>
    <w:rsid w:val="00154D00"/>
    <w:pPr>
      <w:spacing w:before="60" w:line="240" w:lineRule="auto"/>
      <w:ind w:left="284" w:hanging="284"/>
    </w:pPr>
    <w:rPr>
      <w:sz w:val="20"/>
    </w:rPr>
  </w:style>
  <w:style w:type="paragraph" w:customStyle="1" w:styleId="TableAA">
    <w:name w:val="Table(AA)"/>
    <w:aliases w:val="taaa"/>
    <w:basedOn w:val="OPCParaBase"/>
    <w:rsid w:val="00154D0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54D0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54D00"/>
    <w:pPr>
      <w:spacing w:before="60" w:line="240" w:lineRule="atLeast"/>
    </w:pPr>
    <w:rPr>
      <w:sz w:val="20"/>
    </w:rPr>
  </w:style>
  <w:style w:type="paragraph" w:customStyle="1" w:styleId="TLPBoxTextnote">
    <w:name w:val="TLPBoxText(note"/>
    <w:aliases w:val="right)"/>
    <w:basedOn w:val="OPCParaBase"/>
    <w:rsid w:val="00154D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54D00"/>
    <w:pPr>
      <w:numPr>
        <w:numId w:val="11"/>
      </w:numPr>
      <w:tabs>
        <w:tab w:val="clear" w:pos="2517"/>
      </w:tabs>
      <w:spacing w:before="60" w:line="198" w:lineRule="exact"/>
      <w:ind w:left="2625"/>
    </w:pPr>
    <w:rPr>
      <w:sz w:val="18"/>
    </w:rPr>
  </w:style>
  <w:style w:type="paragraph" w:customStyle="1" w:styleId="TLPnoteright">
    <w:name w:val="TLPnote(right)"/>
    <w:aliases w:val="nr"/>
    <w:basedOn w:val="OPCParaBase"/>
    <w:rsid w:val="00154D00"/>
    <w:pPr>
      <w:spacing w:before="122" w:line="198" w:lineRule="exact"/>
      <w:ind w:left="1985" w:hanging="851"/>
      <w:jc w:val="right"/>
    </w:pPr>
    <w:rPr>
      <w:sz w:val="18"/>
    </w:rPr>
  </w:style>
  <w:style w:type="paragraph" w:customStyle="1" w:styleId="TLPTableBullet">
    <w:name w:val="TLPTableBullet"/>
    <w:aliases w:val="ttb"/>
    <w:basedOn w:val="OPCParaBase"/>
    <w:rsid w:val="00154D00"/>
    <w:pPr>
      <w:spacing w:line="240" w:lineRule="exact"/>
      <w:ind w:left="284" w:hanging="284"/>
    </w:pPr>
    <w:rPr>
      <w:sz w:val="20"/>
    </w:rPr>
  </w:style>
  <w:style w:type="paragraph" w:styleId="TOC1">
    <w:name w:val="toc 1"/>
    <w:basedOn w:val="OPCParaBase"/>
    <w:next w:val="Normal"/>
    <w:uiPriority w:val="39"/>
    <w:unhideWhenUsed/>
    <w:rsid w:val="00154D00"/>
    <w:pPr>
      <w:spacing w:line="240" w:lineRule="auto"/>
    </w:pPr>
    <w:rPr>
      <w:sz w:val="24"/>
    </w:rPr>
  </w:style>
  <w:style w:type="paragraph" w:styleId="TOC2">
    <w:name w:val="toc 2"/>
    <w:basedOn w:val="OPCParaBase"/>
    <w:next w:val="Normal"/>
    <w:uiPriority w:val="39"/>
    <w:unhideWhenUsed/>
    <w:rsid w:val="00154D00"/>
    <w:pPr>
      <w:tabs>
        <w:tab w:val="right" w:leader="dot" w:pos="9017"/>
      </w:tabs>
      <w:spacing w:line="240" w:lineRule="auto"/>
      <w:ind w:left="238"/>
    </w:pPr>
    <w:rPr>
      <w:b/>
      <w:noProof/>
      <w:sz w:val="24"/>
    </w:rPr>
  </w:style>
  <w:style w:type="paragraph" w:styleId="TOC3">
    <w:name w:val="toc 3"/>
    <w:basedOn w:val="OPCParaBase"/>
    <w:next w:val="Normal"/>
    <w:uiPriority w:val="39"/>
    <w:unhideWhenUsed/>
    <w:rsid w:val="00154D00"/>
    <w:pPr>
      <w:tabs>
        <w:tab w:val="right" w:leader="dot" w:pos="9017"/>
      </w:tabs>
      <w:spacing w:line="240" w:lineRule="auto"/>
      <w:ind w:left="482"/>
    </w:pPr>
    <w:rPr>
      <w:noProof/>
      <w:sz w:val="24"/>
    </w:rPr>
  </w:style>
  <w:style w:type="paragraph" w:styleId="TOC4">
    <w:name w:val="toc 4"/>
    <w:basedOn w:val="OPCParaBase"/>
    <w:next w:val="Normal"/>
    <w:uiPriority w:val="39"/>
    <w:unhideWhenUsed/>
    <w:rsid w:val="00154D00"/>
    <w:pPr>
      <w:tabs>
        <w:tab w:val="right" w:leader="dot" w:pos="9017"/>
      </w:tabs>
      <w:spacing w:line="240" w:lineRule="auto"/>
      <w:ind w:left="720"/>
    </w:pPr>
    <w:rPr>
      <w:noProof/>
      <w:sz w:val="24"/>
    </w:rPr>
  </w:style>
  <w:style w:type="paragraph" w:styleId="TOC5">
    <w:name w:val="toc 5"/>
    <w:basedOn w:val="OPCParaBase"/>
    <w:next w:val="Normal"/>
    <w:uiPriority w:val="39"/>
    <w:semiHidden/>
    <w:unhideWhenUsed/>
    <w:rsid w:val="00154D00"/>
    <w:pPr>
      <w:spacing w:line="240" w:lineRule="auto"/>
      <w:ind w:left="958"/>
    </w:pPr>
    <w:rPr>
      <w:sz w:val="24"/>
    </w:rPr>
  </w:style>
  <w:style w:type="paragraph" w:styleId="TOC6">
    <w:name w:val="toc 6"/>
    <w:basedOn w:val="OPCParaBase"/>
    <w:next w:val="Normal"/>
    <w:uiPriority w:val="39"/>
    <w:semiHidden/>
    <w:unhideWhenUsed/>
    <w:rsid w:val="00154D00"/>
    <w:pPr>
      <w:spacing w:line="240" w:lineRule="auto"/>
      <w:ind w:left="1202"/>
    </w:pPr>
    <w:rPr>
      <w:sz w:val="24"/>
    </w:rPr>
  </w:style>
  <w:style w:type="paragraph" w:styleId="TOC7">
    <w:name w:val="toc 7"/>
    <w:basedOn w:val="OPCParaBase"/>
    <w:next w:val="Normal"/>
    <w:uiPriority w:val="39"/>
    <w:semiHidden/>
    <w:unhideWhenUsed/>
    <w:rsid w:val="00154D00"/>
    <w:pPr>
      <w:spacing w:line="240" w:lineRule="auto"/>
      <w:ind w:left="1440"/>
    </w:pPr>
    <w:rPr>
      <w:sz w:val="24"/>
    </w:rPr>
  </w:style>
  <w:style w:type="paragraph" w:styleId="TOC8">
    <w:name w:val="toc 8"/>
    <w:basedOn w:val="OPCParaBase"/>
    <w:next w:val="Normal"/>
    <w:uiPriority w:val="39"/>
    <w:semiHidden/>
    <w:unhideWhenUsed/>
    <w:rsid w:val="00154D00"/>
    <w:pPr>
      <w:spacing w:line="240" w:lineRule="auto"/>
      <w:ind w:left="1678"/>
    </w:pPr>
    <w:rPr>
      <w:sz w:val="24"/>
    </w:rPr>
  </w:style>
  <w:style w:type="paragraph" w:styleId="TOC9">
    <w:name w:val="toc 9"/>
    <w:basedOn w:val="OPCParaBase"/>
    <w:next w:val="Normal"/>
    <w:uiPriority w:val="39"/>
    <w:unhideWhenUsed/>
    <w:rsid w:val="00154D00"/>
    <w:pPr>
      <w:spacing w:line="240" w:lineRule="auto"/>
      <w:ind w:left="1922"/>
    </w:pPr>
    <w:rPr>
      <w:sz w:val="24"/>
    </w:rPr>
  </w:style>
  <w:style w:type="paragraph" w:customStyle="1" w:styleId="TofSectsGroupHeading">
    <w:name w:val="TofSects(GroupHeading)"/>
    <w:basedOn w:val="OPCParaBase"/>
    <w:next w:val="TofSectsSection"/>
    <w:rsid w:val="00154D00"/>
    <w:pPr>
      <w:keepLines/>
      <w:spacing w:before="240" w:after="120" w:line="240" w:lineRule="auto"/>
      <w:ind w:left="794"/>
    </w:pPr>
    <w:rPr>
      <w:b/>
      <w:kern w:val="28"/>
      <w:sz w:val="20"/>
    </w:rPr>
  </w:style>
  <w:style w:type="paragraph" w:customStyle="1" w:styleId="TofSectsHeading">
    <w:name w:val="TofSects(Heading)"/>
    <w:basedOn w:val="OPCParaBase"/>
    <w:rsid w:val="00154D00"/>
    <w:pPr>
      <w:spacing w:before="240" w:after="120" w:line="240" w:lineRule="auto"/>
    </w:pPr>
    <w:rPr>
      <w:b/>
      <w:sz w:val="24"/>
    </w:rPr>
  </w:style>
  <w:style w:type="paragraph" w:customStyle="1" w:styleId="TofSectsSection">
    <w:name w:val="TofSects(Section)"/>
    <w:basedOn w:val="OPCParaBase"/>
    <w:rsid w:val="00154D00"/>
    <w:pPr>
      <w:keepLines/>
      <w:spacing w:before="40" w:line="240" w:lineRule="auto"/>
      <w:ind w:left="1588" w:hanging="794"/>
    </w:pPr>
    <w:rPr>
      <w:kern w:val="28"/>
      <w:sz w:val="18"/>
    </w:rPr>
  </w:style>
  <w:style w:type="paragraph" w:customStyle="1" w:styleId="TofSectsSubdiv">
    <w:name w:val="TofSects(Subdiv)"/>
    <w:basedOn w:val="OPCParaBase"/>
    <w:rsid w:val="00154D00"/>
    <w:pPr>
      <w:keepLines/>
      <w:spacing w:before="80" w:line="240" w:lineRule="auto"/>
      <w:ind w:left="1588" w:hanging="794"/>
    </w:pPr>
    <w:rPr>
      <w:kern w:val="28"/>
    </w:rPr>
  </w:style>
  <w:style w:type="paragraph" w:customStyle="1" w:styleId="WRStyle">
    <w:name w:val="WR Style"/>
    <w:aliases w:val="WR"/>
    <w:basedOn w:val="OPCParaBase"/>
    <w:rsid w:val="00154D00"/>
    <w:pPr>
      <w:spacing w:before="240" w:line="240" w:lineRule="auto"/>
      <w:ind w:left="284" w:hanging="284"/>
    </w:pPr>
    <w:rPr>
      <w:b/>
      <w:i/>
      <w:kern w:val="28"/>
      <w:sz w:val="24"/>
    </w:rPr>
  </w:style>
  <w:style w:type="paragraph" w:customStyle="1" w:styleId="Body">
    <w:name w:val="Body"/>
    <w:aliases w:val="b"/>
    <w:basedOn w:val="OPCParaBase"/>
    <w:rsid w:val="00154D00"/>
    <w:pPr>
      <w:spacing w:before="240" w:line="240" w:lineRule="auto"/>
    </w:pPr>
    <w:rPr>
      <w:sz w:val="24"/>
    </w:rPr>
  </w:style>
  <w:style w:type="paragraph" w:customStyle="1" w:styleId="BodyNum">
    <w:name w:val="BodyNum"/>
    <w:aliases w:val="b1"/>
    <w:basedOn w:val="OPCParaBase"/>
    <w:rsid w:val="00154D00"/>
    <w:pPr>
      <w:numPr>
        <w:numId w:val="13"/>
      </w:numPr>
      <w:spacing w:before="240" w:line="240" w:lineRule="auto"/>
    </w:pPr>
    <w:rPr>
      <w:sz w:val="24"/>
    </w:rPr>
  </w:style>
  <w:style w:type="paragraph" w:customStyle="1" w:styleId="BodyPara">
    <w:name w:val="BodyPara"/>
    <w:aliases w:val="ba"/>
    <w:basedOn w:val="OPCParaBase"/>
    <w:rsid w:val="00154D00"/>
    <w:pPr>
      <w:numPr>
        <w:ilvl w:val="1"/>
        <w:numId w:val="13"/>
      </w:numPr>
      <w:spacing w:before="240" w:line="240" w:lineRule="auto"/>
    </w:pPr>
    <w:rPr>
      <w:sz w:val="24"/>
    </w:rPr>
  </w:style>
  <w:style w:type="paragraph" w:customStyle="1" w:styleId="BodyParaBullet">
    <w:name w:val="BodyParaBullet"/>
    <w:aliases w:val="bpb"/>
    <w:basedOn w:val="OPCParaBase"/>
    <w:rsid w:val="00154D00"/>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154D00"/>
    <w:pPr>
      <w:numPr>
        <w:ilvl w:val="3"/>
        <w:numId w:val="13"/>
      </w:numPr>
      <w:spacing w:before="240" w:line="240" w:lineRule="auto"/>
    </w:pPr>
    <w:rPr>
      <w:sz w:val="24"/>
    </w:rPr>
  </w:style>
  <w:style w:type="numbering" w:customStyle="1" w:styleId="OPCBodyList">
    <w:name w:val="OPCBodyList"/>
    <w:uiPriority w:val="99"/>
    <w:rsid w:val="00154D00"/>
    <w:pPr>
      <w:numPr>
        <w:numId w:val="13"/>
      </w:numPr>
    </w:pPr>
  </w:style>
  <w:style w:type="paragraph" w:customStyle="1" w:styleId="Head1">
    <w:name w:val="Head 1"/>
    <w:aliases w:val="1"/>
    <w:basedOn w:val="OPCParaBase"/>
    <w:next w:val="BodyNum"/>
    <w:rsid w:val="00154D00"/>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154D00"/>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154D00"/>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154D00"/>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154D00"/>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54D00"/>
    <w:pPr>
      <w:spacing w:before="122" w:line="198" w:lineRule="exact"/>
      <w:ind w:left="2353" w:hanging="709"/>
    </w:pPr>
    <w:rPr>
      <w:sz w:val="18"/>
    </w:rPr>
  </w:style>
  <w:style w:type="paragraph" w:styleId="Footer">
    <w:name w:val="footer"/>
    <w:link w:val="FooterChar"/>
    <w:rsid w:val="00154D0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54D00"/>
    <w:rPr>
      <w:rFonts w:eastAsia="Times New Roman" w:cs="Times New Roman"/>
      <w:sz w:val="22"/>
      <w:szCs w:val="24"/>
      <w:lang w:eastAsia="en-AU"/>
    </w:rPr>
  </w:style>
  <w:style w:type="character" w:styleId="PageNumber">
    <w:name w:val="page number"/>
    <w:basedOn w:val="DefaultParagraphFont"/>
    <w:rsid w:val="00154D00"/>
  </w:style>
  <w:style w:type="paragraph" w:styleId="BalloonText">
    <w:name w:val="Balloon Text"/>
    <w:basedOn w:val="Normal"/>
    <w:link w:val="BalloonTextChar"/>
    <w:uiPriority w:val="99"/>
    <w:semiHidden/>
    <w:unhideWhenUsed/>
    <w:rsid w:val="00154D0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D00"/>
    <w:rPr>
      <w:rFonts w:ascii="Tahoma" w:hAnsi="Tahoma" w:cs="Tahoma"/>
      <w:sz w:val="16"/>
      <w:szCs w:val="16"/>
    </w:rPr>
  </w:style>
  <w:style w:type="paragraph" w:customStyle="1" w:styleId="MessShortTitle">
    <w:name w:val="MessShortTitle"/>
    <w:basedOn w:val="Head2"/>
    <w:rsid w:val="00154D00"/>
  </w:style>
  <w:style w:type="character" w:styleId="Hyperlink">
    <w:name w:val="Hyperlink"/>
    <w:uiPriority w:val="99"/>
    <w:rsid w:val="0099781A"/>
    <w:rPr>
      <w:color w:val="0000FF"/>
      <w:u w:val="single"/>
    </w:rPr>
  </w:style>
  <w:style w:type="paragraph" w:customStyle="1" w:styleId="TableHeading">
    <w:name w:val="TableHeading"/>
    <w:aliases w:val="th"/>
    <w:basedOn w:val="OPCParaBase"/>
    <w:next w:val="Tabletext"/>
    <w:rsid w:val="00154D00"/>
    <w:pPr>
      <w:keepNext/>
      <w:spacing w:before="60" w:line="240" w:lineRule="atLeast"/>
    </w:pPr>
    <w:rPr>
      <w:b/>
      <w:sz w:val="20"/>
    </w:rPr>
  </w:style>
  <w:style w:type="paragraph" w:customStyle="1" w:styleId="Issued">
    <w:name w:val="Issued"/>
    <w:basedOn w:val="Body"/>
    <w:rsid w:val="00DD027F"/>
    <w:pPr>
      <w:spacing w:before="120"/>
    </w:pPr>
    <w:rPr>
      <w:b/>
      <w:sz w:val="28"/>
    </w:rPr>
  </w:style>
  <w:style w:type="paragraph" w:customStyle="1" w:styleId="Release">
    <w:name w:val="Release"/>
    <w:basedOn w:val="Body"/>
    <w:rsid w:val="00DD027F"/>
    <w:rPr>
      <w:b/>
    </w:rPr>
  </w:style>
  <w:style w:type="character" w:styleId="FollowedHyperlink">
    <w:name w:val="FollowedHyperlink"/>
    <w:basedOn w:val="DefaultParagraphFont"/>
    <w:uiPriority w:val="99"/>
    <w:semiHidden/>
    <w:unhideWhenUsed/>
    <w:rsid w:val="00231799"/>
    <w:rPr>
      <w:color w:val="800080" w:themeColor="followedHyperlink"/>
      <w:u w:val="single"/>
    </w:rPr>
  </w:style>
  <w:style w:type="paragraph" w:customStyle="1" w:styleId="SOTextNote">
    <w:name w:val="SO TextNote"/>
    <w:aliases w:val="sont"/>
    <w:basedOn w:val="Normal"/>
    <w:qFormat/>
    <w:rsid w:val="00154D00"/>
    <w:pPr>
      <w:pBdr>
        <w:top w:val="single" w:sz="6" w:space="5" w:color="auto"/>
        <w:left w:val="single" w:sz="6" w:space="5" w:color="auto"/>
        <w:bottom w:val="single" w:sz="6" w:space="5" w:color="auto"/>
        <w:right w:val="single" w:sz="6" w:space="5" w:color="auto"/>
      </w:pBdr>
      <w:spacing w:before="122" w:line="198" w:lineRule="exact"/>
      <w:ind w:left="1843" w:hanging="709"/>
    </w:pPr>
    <w:rPr>
      <w:sz w:val="18"/>
    </w:rPr>
  </w:style>
  <w:style w:type="paragraph" w:customStyle="1" w:styleId="SOPara">
    <w:name w:val="SO Para"/>
    <w:aliases w:val="soa"/>
    <w:basedOn w:val="Normal"/>
    <w:link w:val="SOParaChar"/>
    <w:qFormat/>
    <w:rsid w:val="00154D00"/>
    <w:pPr>
      <w:pBdr>
        <w:top w:val="single" w:sz="6" w:space="5" w:color="auto"/>
        <w:left w:val="single" w:sz="6" w:space="5" w:color="auto"/>
        <w:bottom w:val="single" w:sz="6" w:space="5" w:color="auto"/>
        <w:right w:val="single" w:sz="6" w:space="5" w:color="auto"/>
      </w:pBdr>
      <w:tabs>
        <w:tab w:val="right" w:pos="1786"/>
      </w:tabs>
      <w:spacing w:before="40" w:line="240" w:lineRule="auto"/>
      <w:ind w:left="2070" w:hanging="936"/>
    </w:pPr>
  </w:style>
  <w:style w:type="character" w:customStyle="1" w:styleId="SOParaChar">
    <w:name w:val="SO Para Char"/>
    <w:aliases w:val="soa Char"/>
    <w:basedOn w:val="DefaultParagraphFont"/>
    <w:link w:val="SOPara"/>
    <w:rsid w:val="00154D00"/>
    <w:rPr>
      <w:sz w:val="22"/>
    </w:rPr>
  </w:style>
  <w:style w:type="paragraph" w:customStyle="1" w:styleId="SOHeadItalic">
    <w:name w:val="SO HeadItalic"/>
    <w:aliases w:val="sohi"/>
    <w:basedOn w:val="Normal"/>
    <w:next w:val="Normal"/>
    <w:link w:val="SOHeadItalicChar"/>
    <w:qFormat/>
    <w:rsid w:val="00154D00"/>
    <w:pPr>
      <w:pBdr>
        <w:top w:val="single" w:sz="6" w:space="5" w:color="auto"/>
        <w:left w:val="single" w:sz="6" w:space="5" w:color="auto"/>
        <w:bottom w:val="single" w:sz="6" w:space="5" w:color="auto"/>
        <w:right w:val="single" w:sz="6" w:space="5" w:color="auto"/>
      </w:pBdr>
      <w:spacing w:before="240" w:line="240" w:lineRule="auto"/>
      <w:ind w:left="1134"/>
    </w:pPr>
    <w:rPr>
      <w:i/>
    </w:rPr>
  </w:style>
  <w:style w:type="character" w:customStyle="1" w:styleId="SOHeadItalicChar">
    <w:name w:val="SO HeadItalic Char"/>
    <w:aliases w:val="sohi Char"/>
    <w:basedOn w:val="DefaultParagraphFont"/>
    <w:link w:val="SOHeadItalic"/>
    <w:rsid w:val="00154D00"/>
    <w:rPr>
      <w:i/>
      <w:sz w:val="22"/>
    </w:rPr>
  </w:style>
  <w:style w:type="paragraph" w:customStyle="1" w:styleId="SOHeadBold">
    <w:name w:val="SO HeadBold"/>
    <w:aliases w:val="sohb"/>
    <w:basedOn w:val="Normal"/>
    <w:next w:val="Normal"/>
    <w:link w:val="SOHeadBoldChar"/>
    <w:qFormat/>
    <w:rsid w:val="00154D00"/>
    <w:pPr>
      <w:pBdr>
        <w:top w:val="single" w:sz="6" w:space="5" w:color="auto"/>
        <w:left w:val="single" w:sz="6" w:space="5" w:color="auto"/>
        <w:bottom w:val="single" w:sz="6" w:space="5" w:color="auto"/>
        <w:right w:val="single" w:sz="6" w:space="5" w:color="auto"/>
      </w:pBdr>
      <w:spacing w:before="240" w:line="240" w:lineRule="auto"/>
      <w:ind w:left="1134"/>
    </w:pPr>
    <w:rPr>
      <w:b/>
    </w:rPr>
  </w:style>
  <w:style w:type="character" w:customStyle="1" w:styleId="SOHeadBoldChar">
    <w:name w:val="SO HeadBold Char"/>
    <w:aliases w:val="sohb Char"/>
    <w:basedOn w:val="DefaultParagraphFont"/>
    <w:link w:val="SOHeadBold"/>
    <w:rsid w:val="00154D00"/>
    <w:rPr>
      <w:b/>
      <w:sz w:val="22"/>
    </w:rPr>
  </w:style>
  <w:style w:type="paragraph" w:customStyle="1" w:styleId="SOBulletNote">
    <w:name w:val="SO BulletNote"/>
    <w:aliases w:val="sonb"/>
    <w:basedOn w:val="SOTextNote"/>
    <w:link w:val="SOBulletNoteChar"/>
    <w:qFormat/>
    <w:rsid w:val="00154D00"/>
    <w:pPr>
      <w:tabs>
        <w:tab w:val="left" w:pos="1560"/>
      </w:tabs>
      <w:ind w:left="2268" w:hanging="1134"/>
    </w:pPr>
  </w:style>
  <w:style w:type="character" w:customStyle="1" w:styleId="SOBulletNoteChar">
    <w:name w:val="SO BulletNote Char"/>
    <w:aliases w:val="sonb Char"/>
    <w:basedOn w:val="DefaultParagraphFont"/>
    <w:link w:val="SOBulletNote"/>
    <w:rsid w:val="00154D00"/>
    <w:rPr>
      <w:sz w:val="18"/>
    </w:rPr>
  </w:style>
  <w:style w:type="paragraph" w:customStyle="1" w:styleId="SOBullet">
    <w:name w:val="SO Bullet"/>
    <w:aliases w:val="sotb"/>
    <w:basedOn w:val="Normal"/>
    <w:link w:val="SOBulletChar"/>
    <w:qFormat/>
    <w:rsid w:val="00154D00"/>
    <w:pPr>
      <w:pBdr>
        <w:top w:val="single" w:sz="6" w:space="5" w:color="auto"/>
        <w:left w:val="single" w:sz="6" w:space="5" w:color="auto"/>
        <w:bottom w:val="single" w:sz="6" w:space="5" w:color="auto"/>
        <w:right w:val="single" w:sz="6" w:space="5" w:color="auto"/>
      </w:pBdr>
      <w:spacing w:before="240" w:line="240" w:lineRule="auto"/>
      <w:ind w:left="1134"/>
    </w:pPr>
  </w:style>
  <w:style w:type="character" w:customStyle="1" w:styleId="SOBulletChar">
    <w:name w:val="SO Bullet Char"/>
    <w:aliases w:val="sotb Char"/>
    <w:basedOn w:val="DefaultParagraphFont"/>
    <w:link w:val="SOBullet"/>
    <w:rsid w:val="00154D00"/>
    <w:rPr>
      <w:sz w:val="22"/>
    </w:rPr>
  </w:style>
  <w:style w:type="paragraph" w:customStyle="1" w:styleId="SubPartCASA">
    <w:name w:val="SubPart(CASA)"/>
    <w:aliases w:val="csp"/>
    <w:basedOn w:val="OPCParaBase"/>
    <w:next w:val="ActHead3"/>
    <w:rsid w:val="00154D00"/>
    <w:pPr>
      <w:keepNext/>
      <w:keepLines/>
      <w:spacing w:before="280"/>
      <w:ind w:left="1134" w:hanging="1134"/>
      <w:outlineLvl w:val="1"/>
    </w:pPr>
    <w:rPr>
      <w:b/>
      <w:kern w:val="28"/>
      <w:sz w:val="32"/>
    </w:rPr>
  </w:style>
  <w:style w:type="paragraph" w:customStyle="1" w:styleId="SundryBoxBullet">
    <w:name w:val="SundryBoxBullet"/>
    <w:aliases w:val="sbb"/>
    <w:basedOn w:val="Normal"/>
    <w:rsid w:val="00154D00"/>
    <w:pPr>
      <w:pBdr>
        <w:top w:val="single" w:sz="6" w:space="5" w:color="auto"/>
        <w:left w:val="single" w:sz="6" w:space="5" w:color="auto"/>
        <w:bottom w:val="single" w:sz="6" w:space="5" w:color="auto"/>
        <w:right w:val="single" w:sz="6" w:space="5" w:color="auto"/>
      </w:pBdr>
      <w:spacing w:before="240" w:line="240" w:lineRule="auto"/>
      <w:ind w:left="425" w:hanging="425"/>
    </w:pPr>
    <w:rPr>
      <w:sz w:val="24"/>
      <w:szCs w:val="24"/>
    </w:rPr>
  </w:style>
  <w:style w:type="paragraph" w:customStyle="1" w:styleId="SundryBoxHeadBold">
    <w:name w:val="SundryBoxHeadBold"/>
    <w:aliases w:val="sbhb"/>
    <w:basedOn w:val="Normal"/>
    <w:rsid w:val="00154D00"/>
    <w:pPr>
      <w:pBdr>
        <w:top w:val="single" w:sz="6" w:space="5" w:color="auto"/>
        <w:left w:val="single" w:sz="6" w:space="5" w:color="auto"/>
        <w:bottom w:val="single" w:sz="6" w:space="5" w:color="auto"/>
        <w:right w:val="single" w:sz="6" w:space="5" w:color="auto"/>
      </w:pBdr>
      <w:spacing w:before="240" w:line="240" w:lineRule="auto"/>
    </w:pPr>
    <w:rPr>
      <w:rFonts w:eastAsia="Times New Roman" w:cs="Times New Roman"/>
      <w:b/>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33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opc.gov.au/about/services_training/index.htm" TargetMode="External"/><Relationship Id="rId26" Type="http://schemas.openxmlformats.org/officeDocument/2006/relationships/hyperlink" Target="http://www.opc.gov.au/about/documents.htm" TargetMode="External"/><Relationship Id="rId39"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yperlink" Target="mailto:bill.instructions@opc.gov.au" TargetMode="External"/><Relationship Id="rId34" Type="http://schemas.openxmlformats.org/officeDocument/2006/relationships/hyperlink" Target="http://www.opc.gov.au/about/documents.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opc.gov.au/about/documents.htm" TargetMode="External"/><Relationship Id="rId25" Type="http://schemas.openxmlformats.org/officeDocument/2006/relationships/hyperlink" Target="http://www.opc.gov.au/about/documents.htm" TargetMode="External"/><Relationship Id="rId33" Type="http://schemas.openxmlformats.org/officeDocument/2006/relationships/hyperlink" Target="http://www.dpmc.gov.au/resource-centre/government/legislation-handbook" TargetMode="External"/><Relationship Id="rId38"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opc.gov.au/about/documents.htm" TargetMode="External"/><Relationship Id="rId29" Type="http://schemas.openxmlformats.org/officeDocument/2006/relationships/hyperlink" Target="http://www.opc.gov.au/about/draft_directions.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opc.gov.au/about/documents.htm" TargetMode="External"/><Relationship Id="rId32" Type="http://schemas.openxmlformats.org/officeDocument/2006/relationships/hyperlink" Target="http://www.opc.gov.au/about/draft_directions.htm" TargetMode="External"/><Relationship Id="rId37" Type="http://schemas.openxmlformats.org/officeDocument/2006/relationships/footer" Target="footer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opc.gov.au/client_information/index.htm" TargetMode="External"/><Relationship Id="rId28" Type="http://schemas.openxmlformats.org/officeDocument/2006/relationships/hyperlink" Target="http://www.opc.gov.au/clearer/index.htm" TargetMode="External"/><Relationship Id="rId36"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www.opc.gov.au/" TargetMode="External"/><Relationship Id="rId31" Type="http://schemas.openxmlformats.org/officeDocument/2006/relationships/hyperlink" Target="http://www.ag.gov.au/LegalSystem/AdministrativeLaw/Pages/default.asp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instrument.instructions@opc.gov.au" TargetMode="External"/><Relationship Id="rId27" Type="http://schemas.openxmlformats.org/officeDocument/2006/relationships/hyperlink" Target="http://www.dpmc.gov.au/resource-centre/government/legislation-handbook" TargetMode="External"/><Relationship Id="rId30" Type="http://schemas.openxmlformats.org/officeDocument/2006/relationships/hyperlink" Target="https://www.ag.gov.au/LegalSystem/Pages/Scrutiny.aspx" TargetMode="External"/><Relationship Id="rId35" Type="http://schemas.openxmlformats.org/officeDocument/2006/relationships/hyperlink" Target="https://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Sundry\sund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sundry.dotx</Template>
  <TotalTime>0</TotalTime>
  <Pages>13</Pages>
  <Words>4543</Words>
  <Characters>23310</Characters>
  <Application>Microsoft Office Word</Application>
  <DocSecurity>12</DocSecurity>
  <Lines>518</Lines>
  <Paragraphs>257</Paragraphs>
  <ScaleCrop>false</ScaleCrop>
  <HeadingPairs>
    <vt:vector size="2" baseType="variant">
      <vt:variant>
        <vt:lpstr>Title</vt:lpstr>
      </vt:variant>
      <vt:variant>
        <vt:i4>1</vt:i4>
      </vt:variant>
    </vt:vector>
  </HeadingPairs>
  <TitlesOfParts>
    <vt:vector size="1" baseType="lpstr">
      <vt:lpstr>Giving written drafting instructions to OPC</vt:lpstr>
    </vt:vector>
  </TitlesOfParts>
  <Company>Office of Parliamentary Counsel</Company>
  <LinksUpToDate>false</LinksUpToDate>
  <CharactersWithSpaces>27596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written drafting instructions to OPC</dc:title>
  <dc:subject>Giving written drafting instructions to OPC 2.1</dc:subject>
  <dc:creator>Stephen Mattingley</dc:creator>
  <cp:lastModifiedBy>Linton, Steffi</cp:lastModifiedBy>
  <cp:revision>2</cp:revision>
  <cp:lastPrinted>2016-07-21T01:31:00Z</cp:lastPrinted>
  <dcterms:created xsi:type="dcterms:W3CDTF">2016-07-21T01:32:00Z</dcterms:created>
  <dcterms:modified xsi:type="dcterms:W3CDTF">2016-07-21T01:32:00Z</dcterms:modified>
  <cp:category>Other - For Folio and website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DoNotAsk">
    <vt:lpwstr>0</vt:lpwstr>
  </property>
  <property fmtid="{D5CDD505-2E9C-101B-9397-08002B2CF9AE}" pid="5" name="ChangedTitle">
    <vt:lpwstr/>
  </property>
</Properties>
</file>